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2B64" w:rsidRDefault="00822B64">
      <w:pPr>
        <w:spacing w:line="360" w:lineRule="auto"/>
        <w:ind w:firstLine="883"/>
        <w:jc w:val="center"/>
        <w:rPr>
          <w:b/>
          <w:sz w:val="44"/>
        </w:rPr>
      </w:pPr>
    </w:p>
    <w:p w:rsidR="00822B64" w:rsidRDefault="00822B64">
      <w:pPr>
        <w:spacing w:line="360" w:lineRule="auto"/>
        <w:ind w:firstLine="881"/>
        <w:jc w:val="center"/>
        <w:rPr>
          <w:b/>
          <w:sz w:val="44"/>
        </w:rPr>
      </w:pPr>
    </w:p>
    <w:p w:rsidR="00822B64" w:rsidRDefault="00822B64">
      <w:pPr>
        <w:spacing w:line="360" w:lineRule="auto"/>
        <w:ind w:firstLine="881"/>
        <w:jc w:val="center"/>
        <w:rPr>
          <w:b/>
          <w:sz w:val="44"/>
        </w:rPr>
      </w:pPr>
    </w:p>
    <w:p w:rsidR="00822B64" w:rsidRDefault="00822B64">
      <w:pPr>
        <w:spacing w:line="360" w:lineRule="auto"/>
        <w:ind w:firstLine="881"/>
        <w:jc w:val="center"/>
        <w:rPr>
          <w:b/>
          <w:sz w:val="44"/>
        </w:rPr>
      </w:pPr>
    </w:p>
    <w:p w:rsidR="00822B64" w:rsidRDefault="00822B64">
      <w:pPr>
        <w:spacing w:line="360" w:lineRule="auto"/>
        <w:jc w:val="center"/>
        <w:rPr>
          <w:rFonts w:ascii="宋体" w:hAnsi="宋体"/>
          <w:b/>
          <w:sz w:val="48"/>
          <w:szCs w:val="20"/>
        </w:rPr>
      </w:pPr>
    </w:p>
    <w:p w:rsidR="00822B64" w:rsidRDefault="00E92BF7">
      <w:pPr>
        <w:jc w:val="center"/>
        <w:rPr>
          <w:rFonts w:ascii="黑体" w:eastAsia="黑体" w:hAnsi="黑体"/>
          <w:b/>
          <w:sz w:val="36"/>
          <w:szCs w:val="36"/>
        </w:rPr>
      </w:pPr>
      <w:bookmarkStart w:id="0" w:name="_Toc411428913"/>
      <w:r>
        <w:rPr>
          <w:rFonts w:ascii="黑体" w:eastAsia="黑体" w:hAnsi="黑体" w:hint="eastAsia"/>
          <w:b/>
          <w:sz w:val="36"/>
          <w:szCs w:val="36"/>
        </w:rPr>
        <w:t>东海</w:t>
      </w:r>
      <w:bookmarkStart w:id="1" w:name="_Hlk35595254"/>
      <w:r>
        <w:rPr>
          <w:rFonts w:ascii="黑体" w:eastAsia="黑体" w:hAnsi="黑体" w:hint="eastAsia"/>
          <w:b/>
          <w:sz w:val="36"/>
          <w:szCs w:val="36"/>
        </w:rPr>
        <w:t>鑫享66个月定期开放</w:t>
      </w:r>
      <w:bookmarkEnd w:id="1"/>
      <w:r>
        <w:rPr>
          <w:rFonts w:ascii="黑体" w:eastAsia="黑体" w:hAnsi="黑体" w:hint="eastAsia"/>
          <w:b/>
          <w:sz w:val="36"/>
          <w:szCs w:val="36"/>
        </w:rPr>
        <w:t>债券型</w:t>
      </w:r>
    </w:p>
    <w:p w:rsidR="00822B64" w:rsidRDefault="00E92BF7">
      <w:pPr>
        <w:jc w:val="center"/>
        <w:rPr>
          <w:rFonts w:ascii="黑体" w:eastAsia="黑体" w:hAnsi="黑体"/>
          <w:b/>
          <w:sz w:val="36"/>
          <w:szCs w:val="36"/>
        </w:rPr>
      </w:pPr>
      <w:r>
        <w:rPr>
          <w:rFonts w:ascii="黑体" w:eastAsia="黑体" w:hAnsi="黑体" w:hint="eastAsia"/>
          <w:b/>
          <w:sz w:val="36"/>
          <w:szCs w:val="36"/>
        </w:rPr>
        <w:t>证券投资基金招募说明书</w:t>
      </w:r>
      <w:bookmarkEnd w:id="0"/>
      <w:r>
        <w:rPr>
          <w:rFonts w:ascii="黑体" w:eastAsia="黑体" w:hAnsi="黑体" w:hint="eastAsia"/>
          <w:b/>
          <w:sz w:val="36"/>
          <w:szCs w:val="36"/>
        </w:rPr>
        <w:t>（更新）</w:t>
      </w:r>
    </w:p>
    <w:p w:rsidR="00822B64" w:rsidRDefault="00822B64">
      <w:pPr>
        <w:spacing w:line="360" w:lineRule="auto"/>
        <w:rPr>
          <w:b/>
          <w:sz w:val="44"/>
        </w:rPr>
      </w:pPr>
    </w:p>
    <w:p w:rsidR="00822B64" w:rsidRDefault="00822B64">
      <w:pPr>
        <w:spacing w:line="360" w:lineRule="auto"/>
        <w:ind w:leftChars="800" w:left="1680" w:firstLine="181"/>
        <w:rPr>
          <w:sz w:val="30"/>
          <w:szCs w:val="30"/>
        </w:rPr>
      </w:pPr>
    </w:p>
    <w:p w:rsidR="00822B64" w:rsidRDefault="00822B64">
      <w:pPr>
        <w:spacing w:line="360" w:lineRule="auto"/>
        <w:ind w:leftChars="800" w:left="1680" w:firstLine="181"/>
        <w:rPr>
          <w:sz w:val="30"/>
          <w:szCs w:val="30"/>
        </w:rPr>
      </w:pPr>
    </w:p>
    <w:p w:rsidR="00822B64" w:rsidRDefault="00E92BF7">
      <w:pPr>
        <w:jc w:val="center"/>
        <w:rPr>
          <w:rFonts w:ascii="黑体" w:eastAsia="黑体" w:hAnsi="黑体"/>
          <w:b/>
          <w:sz w:val="36"/>
          <w:szCs w:val="36"/>
        </w:rPr>
      </w:pPr>
      <w:r>
        <w:rPr>
          <w:rFonts w:ascii="黑体" w:eastAsia="黑体" w:hAnsi="黑体"/>
          <w:b/>
          <w:sz w:val="36"/>
          <w:szCs w:val="36"/>
        </w:rPr>
        <w:t>20</w:t>
      </w:r>
      <w:r>
        <w:rPr>
          <w:rFonts w:ascii="黑体" w:eastAsia="黑体" w:hAnsi="黑体" w:hint="eastAsia"/>
          <w:b/>
          <w:sz w:val="36"/>
          <w:szCs w:val="36"/>
        </w:rPr>
        <w:t>2</w:t>
      </w:r>
      <w:r w:rsidR="004D1858">
        <w:rPr>
          <w:rFonts w:ascii="黑体" w:eastAsia="黑体" w:hAnsi="黑体"/>
          <w:b/>
          <w:sz w:val="36"/>
          <w:szCs w:val="36"/>
        </w:rPr>
        <w:t>3</w:t>
      </w:r>
      <w:r>
        <w:rPr>
          <w:rFonts w:ascii="黑体" w:eastAsia="黑体" w:hAnsi="黑体"/>
          <w:b/>
          <w:sz w:val="36"/>
          <w:szCs w:val="36"/>
        </w:rPr>
        <w:t>年第</w:t>
      </w:r>
      <w:r>
        <w:rPr>
          <w:rFonts w:ascii="黑体" w:eastAsia="黑体" w:hAnsi="黑体" w:hint="eastAsia"/>
          <w:b/>
          <w:sz w:val="36"/>
          <w:szCs w:val="36"/>
        </w:rPr>
        <w:t>1</w:t>
      </w:r>
      <w:r>
        <w:rPr>
          <w:rFonts w:ascii="黑体" w:eastAsia="黑体" w:hAnsi="黑体"/>
          <w:b/>
          <w:sz w:val="36"/>
          <w:szCs w:val="36"/>
        </w:rPr>
        <w:t>号</w:t>
      </w:r>
    </w:p>
    <w:p w:rsidR="00822B64" w:rsidRDefault="00822B64">
      <w:pPr>
        <w:spacing w:line="360" w:lineRule="auto"/>
        <w:ind w:leftChars="800" w:left="1680"/>
        <w:rPr>
          <w:sz w:val="30"/>
          <w:szCs w:val="30"/>
        </w:rPr>
      </w:pPr>
    </w:p>
    <w:p w:rsidR="00822B64" w:rsidRDefault="00822B64">
      <w:pPr>
        <w:spacing w:line="360" w:lineRule="auto"/>
        <w:ind w:leftChars="800" w:left="1680"/>
        <w:rPr>
          <w:sz w:val="30"/>
          <w:szCs w:val="30"/>
        </w:rPr>
      </w:pPr>
    </w:p>
    <w:p w:rsidR="00822B64" w:rsidRDefault="00822B64">
      <w:pPr>
        <w:spacing w:line="360" w:lineRule="auto"/>
        <w:ind w:leftChars="800" w:left="1680"/>
        <w:rPr>
          <w:sz w:val="30"/>
          <w:szCs w:val="30"/>
        </w:rPr>
      </w:pPr>
    </w:p>
    <w:p w:rsidR="00822B64" w:rsidRDefault="00822B64">
      <w:pPr>
        <w:spacing w:line="360" w:lineRule="auto"/>
        <w:ind w:leftChars="800" w:left="1680"/>
        <w:rPr>
          <w:sz w:val="30"/>
          <w:szCs w:val="30"/>
        </w:rPr>
      </w:pPr>
    </w:p>
    <w:p w:rsidR="00822B64" w:rsidRDefault="00E92BF7">
      <w:pPr>
        <w:jc w:val="center"/>
        <w:rPr>
          <w:rFonts w:ascii="黑体" w:eastAsia="黑体" w:hAnsi="黑体"/>
          <w:b/>
          <w:sz w:val="28"/>
          <w:szCs w:val="28"/>
        </w:rPr>
      </w:pPr>
      <w:r>
        <w:rPr>
          <w:rFonts w:ascii="黑体" w:eastAsia="黑体" w:hAnsi="黑体" w:hint="eastAsia"/>
          <w:b/>
          <w:sz w:val="28"/>
          <w:szCs w:val="28"/>
        </w:rPr>
        <w:t>基金管理人：东海基金管理有限责任公司</w:t>
      </w:r>
    </w:p>
    <w:p w:rsidR="00822B64" w:rsidRDefault="00E92BF7">
      <w:pPr>
        <w:jc w:val="center"/>
        <w:rPr>
          <w:rFonts w:ascii="黑体" w:eastAsia="黑体" w:hAnsi="黑体"/>
          <w:b/>
          <w:sz w:val="28"/>
          <w:szCs w:val="28"/>
        </w:rPr>
      </w:pPr>
      <w:r>
        <w:rPr>
          <w:rFonts w:ascii="黑体" w:eastAsia="黑体" w:hAnsi="黑体" w:hint="eastAsia"/>
          <w:b/>
          <w:sz w:val="28"/>
          <w:szCs w:val="28"/>
        </w:rPr>
        <w:t>基金托管人：兴业银行股份有限公司</w:t>
      </w:r>
    </w:p>
    <w:p w:rsidR="00822B64" w:rsidRDefault="00822B64">
      <w:pPr>
        <w:snapToGrid w:val="0"/>
        <w:spacing w:line="360" w:lineRule="auto"/>
        <w:jc w:val="center"/>
        <w:rPr>
          <w:rFonts w:ascii="黑体" w:eastAsia="黑体" w:hAnsi="黑体"/>
          <w:b/>
          <w:sz w:val="28"/>
          <w:szCs w:val="28"/>
        </w:rPr>
      </w:pPr>
    </w:p>
    <w:p w:rsidR="00822B64" w:rsidRDefault="00822B64">
      <w:pPr>
        <w:snapToGrid w:val="0"/>
        <w:spacing w:line="360" w:lineRule="auto"/>
        <w:jc w:val="center"/>
        <w:rPr>
          <w:rFonts w:ascii="黑体" w:eastAsia="黑体" w:hAnsi="黑体"/>
          <w:b/>
          <w:sz w:val="28"/>
          <w:szCs w:val="28"/>
        </w:rPr>
      </w:pPr>
    </w:p>
    <w:p w:rsidR="00822B64" w:rsidRDefault="00E92BF7">
      <w:pPr>
        <w:snapToGrid w:val="0"/>
        <w:spacing w:line="360" w:lineRule="auto"/>
        <w:jc w:val="center"/>
        <w:rPr>
          <w:rFonts w:ascii="宋体" w:hAnsi="宋体"/>
          <w:b/>
          <w:bCs/>
          <w:szCs w:val="21"/>
        </w:rPr>
        <w:sectPr w:rsidR="00822B64">
          <w:headerReference w:type="default" r:id="rId9"/>
          <w:footerReference w:type="default" r:id="rId10"/>
          <w:headerReference w:type="first" r:id="rId11"/>
          <w:pgSz w:w="11906" w:h="16838"/>
          <w:pgMar w:top="1440" w:right="1800" w:bottom="1440" w:left="1800" w:header="851" w:footer="992" w:gutter="0"/>
          <w:pgNumType w:start="0"/>
          <w:cols w:space="425"/>
          <w:titlePg/>
          <w:docGrid w:type="lines" w:linePitch="312"/>
        </w:sectPr>
      </w:pPr>
      <w:r>
        <w:rPr>
          <w:rFonts w:ascii="黑体" w:eastAsia="黑体" w:hAnsi="黑体" w:hint="eastAsia"/>
          <w:b/>
          <w:sz w:val="28"/>
          <w:szCs w:val="28"/>
        </w:rPr>
        <w:t>二零二</w:t>
      </w:r>
      <w:r w:rsidR="004D1858">
        <w:rPr>
          <w:rFonts w:ascii="黑体" w:eastAsia="黑体" w:hAnsi="黑体" w:hint="eastAsia"/>
          <w:b/>
          <w:sz w:val="28"/>
          <w:szCs w:val="28"/>
        </w:rPr>
        <w:t>三</w:t>
      </w:r>
      <w:r>
        <w:rPr>
          <w:rFonts w:ascii="黑体" w:eastAsia="黑体" w:hAnsi="黑体" w:hint="eastAsia"/>
          <w:b/>
          <w:sz w:val="28"/>
          <w:szCs w:val="28"/>
        </w:rPr>
        <w:t>年三月</w:t>
      </w:r>
    </w:p>
    <w:p w:rsidR="00822B64" w:rsidRDefault="00E92BF7">
      <w:pPr>
        <w:snapToGrid w:val="0"/>
        <w:spacing w:line="360" w:lineRule="auto"/>
        <w:jc w:val="center"/>
        <w:rPr>
          <w:rFonts w:ascii="宋体" w:hAnsi="宋体"/>
          <w:b/>
          <w:bCs/>
          <w:szCs w:val="21"/>
        </w:rPr>
      </w:pPr>
      <w:r>
        <w:rPr>
          <w:rFonts w:ascii="宋体" w:hAnsi="宋体" w:hint="eastAsia"/>
          <w:b/>
          <w:bCs/>
          <w:szCs w:val="21"/>
        </w:rPr>
        <w:lastRenderedPageBreak/>
        <w:t>重要提示</w:t>
      </w:r>
    </w:p>
    <w:p w:rsidR="00822B64" w:rsidRDefault="00822B64">
      <w:pPr>
        <w:snapToGrid w:val="0"/>
        <w:spacing w:line="360" w:lineRule="auto"/>
        <w:jc w:val="center"/>
        <w:rPr>
          <w:rFonts w:ascii="宋体" w:hAnsi="宋体"/>
          <w:b/>
          <w:bCs/>
          <w:szCs w:val="21"/>
        </w:rPr>
      </w:pPr>
    </w:p>
    <w:p w:rsidR="00822B64" w:rsidRDefault="00E92BF7">
      <w:pPr>
        <w:numPr>
          <w:ilvl w:val="12"/>
          <w:numId w:val="0"/>
        </w:numPr>
        <w:snapToGrid w:val="0"/>
        <w:spacing w:line="360" w:lineRule="auto"/>
        <w:ind w:firstLineChars="196" w:firstLine="412"/>
        <w:rPr>
          <w:rFonts w:ascii="宋体" w:hAnsi="宋体"/>
          <w:szCs w:val="21"/>
        </w:rPr>
      </w:pPr>
      <w:r>
        <w:rPr>
          <w:rFonts w:ascii="宋体" w:hAnsi="宋体" w:hint="eastAsia"/>
          <w:szCs w:val="21"/>
        </w:rPr>
        <w:t>本基金经中国证监会20</w:t>
      </w:r>
      <w:r>
        <w:rPr>
          <w:rFonts w:ascii="宋体" w:hAnsi="宋体"/>
          <w:szCs w:val="21"/>
        </w:rPr>
        <w:t>20</w:t>
      </w:r>
      <w:r>
        <w:rPr>
          <w:rFonts w:ascii="宋体" w:hAnsi="宋体" w:hint="eastAsia"/>
          <w:szCs w:val="21"/>
        </w:rPr>
        <w:t>年</w:t>
      </w:r>
      <w:r>
        <w:rPr>
          <w:rFonts w:ascii="宋体" w:hAnsi="宋体"/>
          <w:szCs w:val="21"/>
        </w:rPr>
        <w:t>10月28日证监许可</w:t>
      </w:r>
      <w:r>
        <w:rPr>
          <w:rFonts w:ascii="宋体" w:hAnsi="宋体" w:hint="eastAsia"/>
          <w:szCs w:val="21"/>
        </w:rPr>
        <w:t>【</w:t>
      </w:r>
      <w:r>
        <w:rPr>
          <w:rFonts w:ascii="宋体" w:hAnsi="宋体"/>
          <w:szCs w:val="21"/>
        </w:rPr>
        <w:t>2020</w:t>
      </w:r>
      <w:r>
        <w:rPr>
          <w:rFonts w:ascii="宋体" w:hAnsi="宋体" w:hint="eastAsia"/>
          <w:szCs w:val="21"/>
        </w:rPr>
        <w:t>】</w:t>
      </w:r>
      <w:r>
        <w:rPr>
          <w:rFonts w:ascii="宋体" w:hAnsi="宋体"/>
          <w:szCs w:val="21"/>
        </w:rPr>
        <w:t>2785号文注册募集</w:t>
      </w:r>
      <w:r>
        <w:rPr>
          <w:rFonts w:ascii="宋体" w:hAnsi="宋体" w:hint="eastAsia"/>
          <w:szCs w:val="21"/>
        </w:rPr>
        <w:t>。</w:t>
      </w:r>
    </w:p>
    <w:p w:rsidR="00822B64" w:rsidRDefault="00E92BF7">
      <w:pPr>
        <w:numPr>
          <w:ilvl w:val="12"/>
          <w:numId w:val="0"/>
        </w:numPr>
        <w:snapToGrid w:val="0"/>
        <w:spacing w:line="360" w:lineRule="auto"/>
        <w:ind w:firstLineChars="196" w:firstLine="412"/>
        <w:rPr>
          <w:sz w:val="23"/>
          <w:szCs w:val="23"/>
        </w:rPr>
      </w:pPr>
      <w:r>
        <w:rPr>
          <w:rFonts w:ascii="宋体" w:hAnsi="宋体" w:hint="eastAsia"/>
          <w:szCs w:val="21"/>
        </w:rPr>
        <w:t>基金管理人保证招募说明书的内容真实、准确、完整。本招募说明书经中国证监会注册，但中国证监会对本基金募集的注册，并不表明其对本基金的投资价值和市场前景做出实质性判断或保证，也不表明投资于本基金没有风险。投资有风险，</w:t>
      </w:r>
      <w:r>
        <w:rPr>
          <w:rFonts w:hint="eastAsia"/>
          <w:szCs w:val="21"/>
        </w:rPr>
        <w:t>投资者认购（或申购）本基金时应认真阅读本招募说明书。</w:t>
      </w:r>
    </w:p>
    <w:p w:rsidR="00822B64" w:rsidRDefault="00E92BF7">
      <w:pPr>
        <w:numPr>
          <w:ilvl w:val="12"/>
          <w:numId w:val="0"/>
        </w:numPr>
        <w:snapToGrid w:val="0"/>
        <w:spacing w:line="360" w:lineRule="auto"/>
        <w:ind w:firstLineChars="196" w:firstLine="412"/>
        <w:rPr>
          <w:rFonts w:ascii="宋体" w:hAnsi="宋体"/>
          <w:szCs w:val="21"/>
        </w:rPr>
      </w:pPr>
      <w:r>
        <w:rPr>
          <w:rFonts w:ascii="宋体" w:cs="宋体" w:hint="eastAsia"/>
          <w:kern w:val="0"/>
          <w:szCs w:val="21"/>
        </w:rPr>
        <w:t>本基金投资于证券市场，基金净值会因为证券市场波动等因素产生波动，</w:t>
      </w:r>
      <w:r>
        <w:rPr>
          <w:rFonts w:ascii="宋体" w:hAnsi="宋体" w:hint="eastAsia"/>
          <w:szCs w:val="21"/>
        </w:rPr>
        <w:t>投资人在投资本基金前，应全面了解本基金的风险收益特征和产品特性，充分考虑自身的风险承受能力，理性判断市场</w:t>
      </w:r>
      <w:r>
        <w:rPr>
          <w:rFonts w:ascii="宋体" w:hAnsi="宋体"/>
          <w:szCs w:val="21"/>
        </w:rPr>
        <w:t>。投资人根据所持有份额享受基金的收益，但同时也需承担相应的投资风险</w:t>
      </w:r>
      <w:r>
        <w:rPr>
          <w:rFonts w:ascii="宋体" w:hAnsi="宋体" w:hint="eastAsia"/>
          <w:szCs w:val="21"/>
        </w:rPr>
        <w:t>，</w:t>
      </w:r>
    </w:p>
    <w:p w:rsidR="00822B64" w:rsidRDefault="00E92BF7">
      <w:pPr>
        <w:numPr>
          <w:ilvl w:val="12"/>
          <w:numId w:val="0"/>
        </w:numPr>
        <w:snapToGrid w:val="0"/>
        <w:spacing w:line="360" w:lineRule="auto"/>
        <w:rPr>
          <w:rFonts w:ascii="宋体" w:hAnsi="宋体"/>
          <w:szCs w:val="21"/>
        </w:rPr>
      </w:pPr>
      <w:r>
        <w:rPr>
          <w:rFonts w:ascii="宋体" w:hAnsi="宋体" w:hint="eastAsia"/>
          <w:szCs w:val="21"/>
        </w:rPr>
        <w:t>包括但不限于：因整体政治、经济、社会等环境因素对证券价格产生影响而形成的市场风险、管理风险、流动性风险、本基金特有风险、其他风险、本基金法律文件风险收益特征表述与销售机构基金风险评价可能不一致的风险等，详见招募说明书“风险揭示”章节。</w:t>
      </w:r>
    </w:p>
    <w:p w:rsidR="00822B64" w:rsidRDefault="00E92BF7">
      <w:pPr>
        <w:numPr>
          <w:ilvl w:val="12"/>
          <w:numId w:val="0"/>
        </w:numPr>
        <w:snapToGrid w:val="0"/>
        <w:spacing w:line="360" w:lineRule="auto"/>
        <w:rPr>
          <w:rFonts w:ascii="宋体" w:hAnsi="宋体"/>
          <w:bCs/>
          <w:szCs w:val="21"/>
        </w:rPr>
      </w:pPr>
      <w:r>
        <w:rPr>
          <w:rFonts w:ascii="宋体" w:hAnsi="宋体"/>
          <w:szCs w:val="21"/>
        </w:rPr>
        <w:tab/>
      </w:r>
      <w:bookmarkStart w:id="2" w:name="_Hlk36209293"/>
      <w:r>
        <w:rPr>
          <w:rFonts w:ascii="宋体" w:hAnsi="宋体" w:hint="eastAsia"/>
          <w:bCs/>
          <w:szCs w:val="21"/>
        </w:rPr>
        <w:t>本基金为债券型基金，预期收益和预期风险高于货币市场基金，但低于混合型基金、股票型基金。</w:t>
      </w:r>
      <w:bookmarkEnd w:id="2"/>
    </w:p>
    <w:p w:rsidR="00822B64" w:rsidRDefault="00E92BF7">
      <w:pPr>
        <w:numPr>
          <w:ilvl w:val="12"/>
          <w:numId w:val="0"/>
        </w:numPr>
        <w:snapToGrid w:val="0"/>
        <w:spacing w:line="360" w:lineRule="auto"/>
        <w:rPr>
          <w:rFonts w:ascii="宋体" w:hAnsi="宋体"/>
          <w:szCs w:val="21"/>
        </w:rPr>
      </w:pPr>
      <w:r>
        <w:rPr>
          <w:rFonts w:ascii="宋体" w:hAnsi="宋体"/>
          <w:szCs w:val="21"/>
        </w:rPr>
        <w:tab/>
      </w:r>
      <w:r>
        <w:rPr>
          <w:rFonts w:ascii="宋体" w:hAnsi="宋体" w:hint="eastAsia"/>
          <w:szCs w:val="21"/>
        </w:rPr>
        <w:t>本基金采取在封闭期内封闭运作、封闭期与封闭期之间定期开放的运作方式。本基金以</w:t>
      </w:r>
      <w:r>
        <w:rPr>
          <w:rFonts w:ascii="宋体" w:hAnsi="宋体"/>
          <w:szCs w:val="21"/>
        </w:rPr>
        <w:t>66</w:t>
      </w:r>
      <w:r>
        <w:rPr>
          <w:rFonts w:ascii="宋体" w:hAnsi="宋体" w:hint="eastAsia"/>
          <w:szCs w:val="21"/>
        </w:rPr>
        <w:t>个月为一个封闭期。本基金封闭期内不办理申购与赎回业务，也不上市交易。本基金自每个封闭期结束之后第一个工作日起进入开放期，期间可以办理申购与赎回业务。投资人将面临封闭期内不能赎回基金份额的风险。</w:t>
      </w:r>
      <w:bookmarkStart w:id="3" w:name="_Hlk47012356"/>
      <w:r>
        <w:rPr>
          <w:rFonts w:ascii="宋体" w:hAnsi="宋体" w:hint="eastAsia"/>
          <w:szCs w:val="21"/>
        </w:rPr>
        <w:t>若基金份额持有人错过某一开放期而未能赎回，其份额需至下一开放期方可赎回。</w:t>
      </w:r>
      <w:bookmarkEnd w:id="3"/>
      <w:r>
        <w:rPr>
          <w:rFonts w:ascii="宋体" w:hAnsi="宋体"/>
          <w:szCs w:val="21"/>
        </w:rPr>
        <w:tab/>
      </w:r>
    </w:p>
    <w:p w:rsidR="00822B64" w:rsidRDefault="00E92BF7">
      <w:pPr>
        <w:numPr>
          <w:ilvl w:val="12"/>
          <w:numId w:val="0"/>
        </w:numPr>
        <w:snapToGrid w:val="0"/>
        <w:spacing w:line="360" w:lineRule="auto"/>
        <w:ind w:firstLineChars="200" w:firstLine="420"/>
        <w:rPr>
          <w:rFonts w:ascii="宋体" w:hAnsi="宋体"/>
          <w:szCs w:val="21"/>
        </w:rPr>
      </w:pPr>
      <w:r>
        <w:rPr>
          <w:rFonts w:ascii="宋体" w:hAnsi="宋体" w:hint="eastAsia"/>
          <w:szCs w:val="21"/>
        </w:rPr>
        <w:t>本基金投资资产支持证券，主要存在以下风险：信用风险、利率风险、流动性风险、提前偿付风险、操作风险及法律风险等。</w:t>
      </w:r>
    </w:p>
    <w:p w:rsidR="00822B64" w:rsidRDefault="00E92BF7">
      <w:pPr>
        <w:numPr>
          <w:ilvl w:val="12"/>
          <w:numId w:val="0"/>
        </w:numPr>
        <w:snapToGrid w:val="0"/>
        <w:spacing w:line="360" w:lineRule="auto"/>
        <w:ind w:firstLineChars="196" w:firstLine="412"/>
        <w:rPr>
          <w:rFonts w:ascii="宋体" w:hAnsi="宋体"/>
          <w:szCs w:val="21"/>
        </w:rPr>
      </w:pPr>
      <w:r>
        <w:rPr>
          <w:rFonts w:ascii="宋体" w:hAnsi="宋体"/>
          <w:szCs w:val="21"/>
        </w:rPr>
        <w:t>本基金采用摊余成本法</w:t>
      </w:r>
      <w:r>
        <w:rPr>
          <w:rFonts w:ascii="宋体" w:hAnsi="宋体" w:hint="eastAsia"/>
          <w:szCs w:val="21"/>
        </w:rPr>
        <w:t>估值。摊余成本法</w:t>
      </w:r>
      <w:r>
        <w:rPr>
          <w:rFonts w:ascii="宋体" w:hAnsi="宋体"/>
          <w:szCs w:val="21"/>
        </w:rPr>
        <w:t>估值不等同于保本，基金资产发生计提减值准备可能导致基金份额净值下跌。本基金采用买入并持有至到期策略，可能损失一定的交易收益。</w:t>
      </w:r>
    </w:p>
    <w:p w:rsidR="00822B64" w:rsidRDefault="00E92BF7">
      <w:pPr>
        <w:numPr>
          <w:ilvl w:val="12"/>
          <w:numId w:val="0"/>
        </w:numPr>
        <w:snapToGrid w:val="0"/>
        <w:spacing w:line="360" w:lineRule="auto"/>
        <w:ind w:firstLineChars="196" w:firstLine="412"/>
        <w:rPr>
          <w:rFonts w:ascii="宋体" w:hAnsi="宋体"/>
          <w:bCs/>
          <w:szCs w:val="21"/>
        </w:rPr>
      </w:pPr>
      <w:r>
        <w:rPr>
          <w:rFonts w:ascii="宋体" w:hAnsi="宋体" w:hint="eastAsia"/>
          <w:szCs w:val="21"/>
        </w:rPr>
        <w:t>基金管理人依照恪尽职守、诚实信用、谨慎勤勉的原则管理和运用基金资产，但不保证基金一定盈利，也不保证最低收益。</w:t>
      </w:r>
      <w:r>
        <w:rPr>
          <w:rFonts w:ascii="宋体" w:hAnsi="宋体" w:hint="eastAsia"/>
          <w:bCs/>
          <w:szCs w:val="21"/>
        </w:rPr>
        <w:t>本基金的过往业绩及其净值高低并不预示其未来业绩表现；基金管理人管理的其他基金的业绩也不构成对本基金业绩表现的保证。基金管理人提醒投资人基金投资的“买者自负”原则，在投资人作出投资决策后，基金运营状况与基金净值变化引致的投资风险，由投资人自行负担。</w:t>
      </w:r>
    </w:p>
    <w:p w:rsidR="00822B64" w:rsidRDefault="00E92BF7">
      <w:pPr>
        <w:numPr>
          <w:ilvl w:val="12"/>
          <w:numId w:val="0"/>
        </w:numPr>
        <w:snapToGrid w:val="0"/>
        <w:spacing w:line="360" w:lineRule="auto"/>
        <w:ind w:firstLineChars="196" w:firstLine="412"/>
        <w:rPr>
          <w:rFonts w:ascii="宋体" w:hAnsi="宋体"/>
          <w:bCs/>
          <w:szCs w:val="21"/>
        </w:rPr>
      </w:pPr>
      <w:r>
        <w:rPr>
          <w:rFonts w:ascii="宋体" w:hAnsi="宋体" w:hint="eastAsia"/>
          <w:bCs/>
          <w:szCs w:val="21"/>
        </w:rPr>
        <w:t>本基金在募集成立时及</w:t>
      </w:r>
      <w:r>
        <w:rPr>
          <w:rFonts w:ascii="宋体" w:hAnsi="宋体"/>
          <w:bCs/>
          <w:szCs w:val="21"/>
        </w:rPr>
        <w:t>运作过程中</w:t>
      </w:r>
      <w:r>
        <w:rPr>
          <w:rFonts w:ascii="宋体" w:hAnsi="宋体" w:hint="eastAsia"/>
          <w:bCs/>
          <w:szCs w:val="21"/>
        </w:rPr>
        <w:t>，</w:t>
      </w:r>
      <w:r>
        <w:rPr>
          <w:rFonts w:ascii="宋体" w:hAnsi="宋体"/>
          <w:bCs/>
          <w:szCs w:val="21"/>
        </w:rPr>
        <w:t>单一投资者持有</w:t>
      </w:r>
      <w:r>
        <w:rPr>
          <w:rFonts w:ascii="宋体" w:hAnsi="宋体" w:hint="eastAsia"/>
          <w:bCs/>
          <w:szCs w:val="21"/>
        </w:rPr>
        <w:t>的</w:t>
      </w:r>
      <w:r>
        <w:rPr>
          <w:rFonts w:ascii="宋体" w:hAnsi="宋体"/>
          <w:bCs/>
          <w:szCs w:val="21"/>
        </w:rPr>
        <w:t>基金份额数不得</w:t>
      </w:r>
      <w:r>
        <w:rPr>
          <w:rFonts w:ascii="宋体" w:hAnsi="宋体" w:hint="eastAsia"/>
          <w:bCs/>
          <w:szCs w:val="21"/>
        </w:rPr>
        <w:t>达到或</w:t>
      </w:r>
      <w:r>
        <w:rPr>
          <w:rFonts w:ascii="宋体" w:hAnsi="宋体"/>
          <w:bCs/>
          <w:szCs w:val="21"/>
        </w:rPr>
        <w:t>超过基金份额总数的50%，但在基金运作过程中因基金份额赎回等情形导致被动</w:t>
      </w:r>
      <w:r>
        <w:rPr>
          <w:rFonts w:ascii="宋体" w:hAnsi="宋体" w:hint="eastAsia"/>
          <w:bCs/>
          <w:szCs w:val="21"/>
        </w:rPr>
        <w:t>达到或</w:t>
      </w:r>
      <w:r>
        <w:rPr>
          <w:rFonts w:ascii="宋体" w:hAnsi="宋体"/>
          <w:bCs/>
          <w:szCs w:val="21"/>
        </w:rPr>
        <w:t>超过</w:t>
      </w:r>
      <w:r>
        <w:rPr>
          <w:rFonts w:ascii="宋体" w:hAnsi="宋体" w:hint="eastAsia"/>
          <w:bCs/>
          <w:szCs w:val="21"/>
        </w:rPr>
        <w:t>前述</w:t>
      </w:r>
      <w:r>
        <w:rPr>
          <w:rFonts w:ascii="宋体" w:hAnsi="宋体"/>
          <w:bCs/>
          <w:szCs w:val="21"/>
        </w:rPr>
        <w:t>50%</w:t>
      </w:r>
      <w:r>
        <w:rPr>
          <w:rFonts w:ascii="宋体" w:hAnsi="宋体" w:hint="eastAsia"/>
          <w:bCs/>
          <w:szCs w:val="21"/>
        </w:rPr>
        <w:t>比例</w:t>
      </w:r>
      <w:r>
        <w:rPr>
          <w:rFonts w:ascii="宋体" w:hAnsi="宋体"/>
          <w:bCs/>
          <w:szCs w:val="21"/>
        </w:rPr>
        <w:t>的除外。</w:t>
      </w:r>
      <w:bookmarkStart w:id="4" w:name="_Toc360793493"/>
      <w:bookmarkStart w:id="5" w:name="_Toc360793845"/>
      <w:bookmarkStart w:id="6" w:name="_Toc362455178"/>
      <w:bookmarkStart w:id="7" w:name="_Toc360794403"/>
      <w:bookmarkStart w:id="8" w:name="_Toc360794095"/>
      <w:bookmarkStart w:id="9" w:name="_Toc360794511"/>
      <w:bookmarkStart w:id="10" w:name="_Toc350789211"/>
      <w:bookmarkStart w:id="11" w:name="_Toc362533450"/>
      <w:bookmarkStart w:id="12" w:name="_Toc215629791"/>
      <w:bookmarkStart w:id="13" w:name="_Toc80103054"/>
      <w:bookmarkStart w:id="14" w:name="_Toc73936074"/>
      <w:bookmarkStart w:id="15" w:name="_Toc79132642"/>
    </w:p>
    <w:p w:rsidR="004D1858" w:rsidRDefault="004D1858" w:rsidP="004D1858">
      <w:pPr>
        <w:numPr>
          <w:ilvl w:val="12"/>
          <w:numId w:val="0"/>
        </w:numPr>
        <w:snapToGrid w:val="0"/>
        <w:spacing w:line="360" w:lineRule="auto"/>
        <w:ind w:firstLineChars="196" w:firstLine="412"/>
        <w:jc w:val="left"/>
        <w:rPr>
          <w:rFonts w:ascii="宋体" w:hAnsi="宋体"/>
          <w:bCs/>
          <w:szCs w:val="21"/>
          <w:lang w:val="zh-CN"/>
        </w:rPr>
      </w:pPr>
      <w:r>
        <w:rPr>
          <w:rFonts w:ascii="宋体" w:hAnsi="宋体" w:hint="eastAsia"/>
          <w:bCs/>
          <w:szCs w:val="21"/>
          <w:lang w:val="zh-CN"/>
        </w:rPr>
        <w:t>本次招募说明书对基金管理人信息、基金托管人信息、基金服务机构信息、投资组合</w:t>
      </w:r>
      <w:r>
        <w:rPr>
          <w:rFonts w:ascii="宋体" w:hAnsi="宋体" w:hint="eastAsia"/>
          <w:bCs/>
          <w:szCs w:val="21"/>
          <w:lang w:val="zh-CN"/>
        </w:rPr>
        <w:lastRenderedPageBreak/>
        <w:t>报告、基金的业绩、其他应披露事项等内容更新，</w:t>
      </w:r>
      <w:r>
        <w:rPr>
          <w:rFonts w:ascii="宋体" w:hAnsi="宋体" w:hint="eastAsia"/>
          <w:bCs/>
          <w:szCs w:val="21"/>
        </w:rPr>
        <w:t>除非另有说明，</w:t>
      </w:r>
      <w:r>
        <w:rPr>
          <w:rFonts w:ascii="宋体" w:hAnsi="宋体" w:hint="eastAsia"/>
          <w:bCs/>
          <w:szCs w:val="21"/>
          <w:lang w:val="zh-CN"/>
        </w:rPr>
        <w:t>本招募说明书所载内容截止日为202</w:t>
      </w:r>
      <w:r>
        <w:rPr>
          <w:rFonts w:ascii="宋体" w:hAnsi="宋体"/>
          <w:bCs/>
          <w:szCs w:val="21"/>
          <w:lang w:val="zh-CN"/>
        </w:rPr>
        <w:t>3</w:t>
      </w:r>
      <w:r>
        <w:rPr>
          <w:rFonts w:ascii="宋体" w:hAnsi="宋体" w:hint="eastAsia"/>
          <w:bCs/>
          <w:szCs w:val="21"/>
          <w:lang w:val="zh-CN"/>
        </w:rPr>
        <w:t>年3月</w:t>
      </w:r>
      <w:r>
        <w:rPr>
          <w:rFonts w:ascii="宋体" w:hAnsi="宋体"/>
          <w:bCs/>
          <w:szCs w:val="21"/>
        </w:rPr>
        <w:t>20</w:t>
      </w:r>
      <w:r>
        <w:rPr>
          <w:rFonts w:ascii="宋体" w:hAnsi="宋体" w:hint="eastAsia"/>
          <w:bCs/>
          <w:szCs w:val="21"/>
          <w:lang w:val="zh-CN"/>
        </w:rPr>
        <w:t>日，有关财务数据和净值表现截止日为202</w:t>
      </w:r>
      <w:r>
        <w:rPr>
          <w:rFonts w:ascii="宋体" w:hAnsi="宋体"/>
          <w:bCs/>
          <w:szCs w:val="21"/>
          <w:lang w:val="zh-CN"/>
        </w:rPr>
        <w:t>2</w:t>
      </w:r>
      <w:r>
        <w:rPr>
          <w:rFonts w:ascii="宋体" w:hAnsi="宋体" w:hint="eastAsia"/>
          <w:bCs/>
          <w:szCs w:val="21"/>
          <w:lang w:val="zh-CN"/>
        </w:rPr>
        <w:t>年12月31日（财务数据未经审计）。本招募说明书已经基金托管人复核。</w:t>
      </w:r>
    </w:p>
    <w:p w:rsidR="00822B64" w:rsidRDefault="00822B64">
      <w:pPr>
        <w:numPr>
          <w:ilvl w:val="12"/>
          <w:numId w:val="0"/>
        </w:numPr>
        <w:snapToGrid w:val="0"/>
        <w:spacing w:line="360" w:lineRule="auto"/>
        <w:ind w:firstLineChars="196" w:firstLine="413"/>
        <w:jc w:val="center"/>
        <w:rPr>
          <w:rFonts w:ascii="宋体" w:hAnsi="宋体" w:cs="宋体"/>
          <w:b/>
          <w:bCs/>
          <w:szCs w:val="22"/>
        </w:rPr>
        <w:sectPr w:rsidR="00822B64">
          <w:headerReference w:type="default" r:id="rId12"/>
          <w:footerReference w:type="default" r:id="rId13"/>
          <w:footerReference w:type="first" r:id="rId14"/>
          <w:pgSz w:w="11906" w:h="16838"/>
          <w:pgMar w:top="1440" w:right="1800" w:bottom="1440" w:left="1800" w:header="851" w:footer="992" w:gutter="0"/>
          <w:pgNumType w:start="1"/>
          <w:cols w:space="425"/>
          <w:docGrid w:type="lines" w:linePitch="312"/>
        </w:sectPr>
      </w:pPr>
    </w:p>
    <w:p w:rsidR="00822B64" w:rsidRDefault="00E92BF7">
      <w:pPr>
        <w:numPr>
          <w:ilvl w:val="12"/>
          <w:numId w:val="0"/>
        </w:numPr>
        <w:snapToGrid w:val="0"/>
        <w:spacing w:line="360" w:lineRule="auto"/>
        <w:ind w:firstLineChars="196" w:firstLine="413"/>
        <w:jc w:val="center"/>
        <w:rPr>
          <w:rFonts w:ascii="宋体" w:hAnsi="宋体" w:cs="宋体"/>
          <w:szCs w:val="22"/>
        </w:rPr>
      </w:pPr>
      <w:r>
        <w:rPr>
          <w:rFonts w:ascii="宋体" w:hAnsi="宋体" w:cs="宋体" w:hint="eastAsia"/>
          <w:b/>
          <w:bCs/>
          <w:szCs w:val="22"/>
        </w:rPr>
        <w:lastRenderedPageBreak/>
        <w:t>目  录</w:t>
      </w:r>
    </w:p>
    <w:p w:rsidR="00822B64" w:rsidRDefault="00E92BF7">
      <w:pPr>
        <w:pStyle w:val="25"/>
        <w:rPr>
          <w:rFonts w:asciiTheme="minorHAnsi" w:eastAsiaTheme="minorEastAsia" w:hAnsiTheme="minorHAnsi" w:cstheme="minorBidi"/>
          <w:szCs w:val="22"/>
        </w:rPr>
      </w:pPr>
      <w:r>
        <w:fldChar w:fldCharType="begin"/>
      </w:r>
      <w:r>
        <w:instrText xml:space="preserve"> TOC \o "1-3" \h \z \u </w:instrText>
      </w:r>
      <w:r>
        <w:fldChar w:fldCharType="separate"/>
      </w:r>
      <w:hyperlink w:anchor="_Toc48808879" w:history="1">
        <w:r>
          <w:rPr>
            <w:rStyle w:val="afff2"/>
            <w:rFonts w:ascii="宋体" w:hAnsi="宋体"/>
            <w:color w:val="auto"/>
          </w:rPr>
          <w:t>第一部分</w:t>
        </w:r>
        <w:r>
          <w:rPr>
            <w:rFonts w:asciiTheme="minorHAnsi" w:eastAsiaTheme="minorEastAsia" w:hAnsiTheme="minorHAnsi" w:cstheme="minorBidi"/>
            <w:szCs w:val="22"/>
          </w:rPr>
          <w:tab/>
        </w:r>
        <w:r>
          <w:rPr>
            <w:rStyle w:val="afff2"/>
            <w:rFonts w:ascii="宋体" w:hAnsi="宋体"/>
            <w:color w:val="auto"/>
          </w:rPr>
          <w:t>绪言</w:t>
        </w:r>
        <w:r>
          <w:tab/>
        </w:r>
        <w:r>
          <w:fldChar w:fldCharType="begin"/>
        </w:r>
        <w:r>
          <w:instrText xml:space="preserve"> PAGEREF _Toc48808879 \h </w:instrText>
        </w:r>
        <w:r>
          <w:fldChar w:fldCharType="separate"/>
        </w:r>
        <w:r>
          <w:t>1</w:t>
        </w:r>
        <w:r>
          <w:fldChar w:fldCharType="end"/>
        </w:r>
      </w:hyperlink>
    </w:p>
    <w:p w:rsidR="00822B64" w:rsidRDefault="00952DE9">
      <w:pPr>
        <w:pStyle w:val="25"/>
        <w:rPr>
          <w:rFonts w:asciiTheme="minorHAnsi" w:eastAsiaTheme="minorEastAsia" w:hAnsiTheme="minorHAnsi" w:cstheme="minorBidi"/>
          <w:szCs w:val="22"/>
        </w:rPr>
      </w:pPr>
      <w:hyperlink w:anchor="_Toc48808880" w:history="1">
        <w:r w:rsidR="00E92BF7">
          <w:rPr>
            <w:rStyle w:val="afff2"/>
            <w:rFonts w:ascii="宋体" w:hAnsi="宋体"/>
            <w:color w:val="auto"/>
          </w:rPr>
          <w:t>第二部分</w:t>
        </w:r>
        <w:r w:rsidR="00E92BF7">
          <w:rPr>
            <w:rFonts w:asciiTheme="minorHAnsi" w:eastAsiaTheme="minorEastAsia" w:hAnsiTheme="minorHAnsi" w:cstheme="minorBidi"/>
            <w:szCs w:val="22"/>
          </w:rPr>
          <w:tab/>
        </w:r>
        <w:r w:rsidR="00E92BF7">
          <w:rPr>
            <w:rStyle w:val="afff2"/>
            <w:rFonts w:ascii="宋体" w:hAnsi="宋体"/>
            <w:color w:val="auto"/>
          </w:rPr>
          <w:t>释义</w:t>
        </w:r>
        <w:r w:rsidR="00E92BF7">
          <w:tab/>
        </w:r>
        <w:r w:rsidR="00E92BF7">
          <w:fldChar w:fldCharType="begin"/>
        </w:r>
        <w:r w:rsidR="00E92BF7">
          <w:instrText xml:space="preserve"> PAGEREF _Toc48808880 \h </w:instrText>
        </w:r>
        <w:r w:rsidR="00E92BF7">
          <w:fldChar w:fldCharType="separate"/>
        </w:r>
        <w:r w:rsidR="00E92BF7">
          <w:t>2</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1" w:history="1">
        <w:r w:rsidR="00E92BF7">
          <w:rPr>
            <w:rStyle w:val="afff2"/>
            <w:rFonts w:ascii="宋体" w:hAnsi="宋体"/>
            <w:color w:val="auto"/>
          </w:rPr>
          <w:t>第三部分</w:t>
        </w:r>
        <w:r w:rsidR="00E92BF7">
          <w:rPr>
            <w:rFonts w:asciiTheme="minorHAnsi" w:eastAsiaTheme="minorEastAsia" w:hAnsiTheme="minorHAnsi" w:cstheme="minorBidi"/>
            <w:szCs w:val="22"/>
          </w:rPr>
          <w:tab/>
        </w:r>
        <w:r w:rsidR="00E92BF7">
          <w:rPr>
            <w:rStyle w:val="afff2"/>
            <w:rFonts w:ascii="宋体" w:hAnsi="宋体"/>
            <w:color w:val="auto"/>
          </w:rPr>
          <w:t>基金管理人</w:t>
        </w:r>
        <w:r w:rsidR="00E92BF7">
          <w:tab/>
        </w:r>
        <w:r w:rsidR="00E92BF7">
          <w:fldChar w:fldCharType="begin"/>
        </w:r>
        <w:r w:rsidR="00E92BF7">
          <w:instrText xml:space="preserve"> PAGEREF _Toc48808881 \h </w:instrText>
        </w:r>
        <w:r w:rsidR="00E92BF7">
          <w:fldChar w:fldCharType="separate"/>
        </w:r>
        <w:r w:rsidR="00E92BF7">
          <w:t>7</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2" w:history="1">
        <w:r w:rsidR="00E92BF7">
          <w:rPr>
            <w:rStyle w:val="afff2"/>
            <w:rFonts w:ascii="宋体" w:hAnsi="宋体"/>
            <w:color w:val="auto"/>
          </w:rPr>
          <w:t>第四部分</w:t>
        </w:r>
        <w:r w:rsidR="00E92BF7">
          <w:rPr>
            <w:rFonts w:asciiTheme="minorHAnsi" w:eastAsiaTheme="minorEastAsia" w:hAnsiTheme="minorHAnsi" w:cstheme="minorBidi"/>
            <w:szCs w:val="22"/>
          </w:rPr>
          <w:tab/>
        </w:r>
        <w:r w:rsidR="00E92BF7">
          <w:rPr>
            <w:rStyle w:val="afff2"/>
            <w:rFonts w:ascii="宋体" w:hAnsi="宋体"/>
            <w:color w:val="auto"/>
          </w:rPr>
          <w:t>基金托管人</w:t>
        </w:r>
        <w:r w:rsidR="00E92BF7">
          <w:tab/>
        </w:r>
        <w:r w:rsidR="00E92BF7">
          <w:fldChar w:fldCharType="begin"/>
        </w:r>
        <w:r w:rsidR="00E92BF7">
          <w:instrText xml:space="preserve"> PAGEREF _Toc48808882 \h </w:instrText>
        </w:r>
        <w:r w:rsidR="00E92BF7">
          <w:fldChar w:fldCharType="separate"/>
        </w:r>
        <w:r w:rsidR="00E92BF7">
          <w:t>15</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3" w:history="1">
        <w:r w:rsidR="00E92BF7">
          <w:rPr>
            <w:rStyle w:val="afff2"/>
            <w:rFonts w:ascii="宋体" w:hAnsi="宋体"/>
            <w:color w:val="auto"/>
          </w:rPr>
          <w:t>第五部分</w:t>
        </w:r>
        <w:r w:rsidR="00E92BF7">
          <w:rPr>
            <w:rFonts w:asciiTheme="minorHAnsi" w:eastAsiaTheme="minorEastAsia" w:hAnsiTheme="minorHAnsi" w:cstheme="minorBidi"/>
            <w:szCs w:val="22"/>
          </w:rPr>
          <w:tab/>
        </w:r>
        <w:r w:rsidR="00E92BF7">
          <w:rPr>
            <w:rStyle w:val="afff2"/>
            <w:rFonts w:ascii="宋体" w:hAnsi="宋体"/>
            <w:color w:val="auto"/>
          </w:rPr>
          <w:t>相关服务机构</w:t>
        </w:r>
        <w:r w:rsidR="00E92BF7">
          <w:tab/>
        </w:r>
        <w:r w:rsidR="00E92BF7">
          <w:fldChar w:fldCharType="begin"/>
        </w:r>
        <w:r w:rsidR="00E92BF7">
          <w:instrText xml:space="preserve"> PAGEREF _Toc48808883 \h </w:instrText>
        </w:r>
        <w:r w:rsidR="00E92BF7">
          <w:fldChar w:fldCharType="separate"/>
        </w:r>
        <w:r w:rsidR="00E92BF7">
          <w:t>18</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4" w:history="1">
        <w:r w:rsidR="00E92BF7">
          <w:rPr>
            <w:rStyle w:val="afff2"/>
            <w:rFonts w:ascii="宋体" w:hAnsi="宋体"/>
            <w:color w:val="auto"/>
          </w:rPr>
          <w:t>第六部分</w:t>
        </w:r>
        <w:r w:rsidR="00E92BF7">
          <w:rPr>
            <w:rFonts w:asciiTheme="minorHAnsi" w:eastAsiaTheme="minorEastAsia" w:hAnsiTheme="minorHAnsi" w:cstheme="minorBidi"/>
            <w:szCs w:val="22"/>
          </w:rPr>
          <w:tab/>
        </w:r>
        <w:r w:rsidR="00E92BF7">
          <w:rPr>
            <w:rStyle w:val="afff2"/>
            <w:rFonts w:ascii="宋体" w:hAnsi="宋体"/>
            <w:color w:val="auto"/>
          </w:rPr>
          <w:t>基金募集</w:t>
        </w:r>
        <w:r w:rsidR="00E92BF7">
          <w:tab/>
        </w:r>
        <w:r w:rsidR="00E92BF7">
          <w:fldChar w:fldCharType="begin"/>
        </w:r>
        <w:r w:rsidR="00E92BF7">
          <w:instrText xml:space="preserve"> PAGEREF _Toc48808884 \h </w:instrText>
        </w:r>
        <w:r w:rsidR="00E92BF7">
          <w:fldChar w:fldCharType="separate"/>
        </w:r>
        <w:r w:rsidR="00E92BF7">
          <w:t>20</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5" w:history="1">
        <w:r w:rsidR="00E92BF7">
          <w:rPr>
            <w:rStyle w:val="afff2"/>
            <w:rFonts w:ascii="宋体" w:hAnsi="宋体"/>
            <w:color w:val="auto"/>
          </w:rPr>
          <w:t>第七部分</w:t>
        </w:r>
        <w:r w:rsidR="00E92BF7">
          <w:rPr>
            <w:rFonts w:asciiTheme="minorHAnsi" w:eastAsiaTheme="minorEastAsia" w:hAnsiTheme="minorHAnsi" w:cstheme="minorBidi"/>
            <w:szCs w:val="22"/>
          </w:rPr>
          <w:tab/>
        </w:r>
        <w:r w:rsidR="00E92BF7">
          <w:rPr>
            <w:rStyle w:val="afff2"/>
            <w:rFonts w:ascii="宋体" w:hAnsi="宋体"/>
            <w:color w:val="auto"/>
          </w:rPr>
          <w:t>基金合同的生效</w:t>
        </w:r>
        <w:r w:rsidR="00E92BF7">
          <w:tab/>
        </w:r>
        <w:r w:rsidR="00E92BF7">
          <w:fldChar w:fldCharType="begin"/>
        </w:r>
        <w:r w:rsidR="00E92BF7">
          <w:instrText xml:space="preserve"> PAGEREF _Toc48808885 \h </w:instrText>
        </w:r>
        <w:r w:rsidR="00E92BF7">
          <w:fldChar w:fldCharType="separate"/>
        </w:r>
        <w:r w:rsidR="00E92BF7">
          <w:t>21</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6" w:history="1">
        <w:r w:rsidR="00E92BF7">
          <w:rPr>
            <w:rStyle w:val="afff2"/>
            <w:rFonts w:ascii="宋体" w:hAnsi="宋体"/>
            <w:color w:val="auto"/>
          </w:rPr>
          <w:t>第八部分</w:t>
        </w:r>
        <w:r w:rsidR="00E92BF7">
          <w:rPr>
            <w:rFonts w:asciiTheme="minorHAnsi" w:eastAsiaTheme="minorEastAsia" w:hAnsiTheme="minorHAnsi" w:cstheme="minorBidi"/>
            <w:szCs w:val="22"/>
          </w:rPr>
          <w:tab/>
        </w:r>
        <w:r w:rsidR="00E92BF7">
          <w:rPr>
            <w:rStyle w:val="afff2"/>
            <w:rFonts w:ascii="宋体" w:hAnsi="宋体"/>
            <w:color w:val="auto"/>
          </w:rPr>
          <w:t>基金份额的申购和赎回</w:t>
        </w:r>
        <w:r w:rsidR="00E92BF7">
          <w:tab/>
        </w:r>
        <w:r w:rsidR="00E92BF7">
          <w:fldChar w:fldCharType="begin"/>
        </w:r>
        <w:r w:rsidR="00E92BF7">
          <w:instrText xml:space="preserve"> PAGEREF _Toc48808886 \h </w:instrText>
        </w:r>
        <w:r w:rsidR="00E92BF7">
          <w:fldChar w:fldCharType="separate"/>
        </w:r>
        <w:r w:rsidR="00E92BF7">
          <w:t>22</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7" w:history="1">
        <w:r w:rsidR="00E92BF7">
          <w:rPr>
            <w:rStyle w:val="afff2"/>
            <w:rFonts w:ascii="宋体" w:hAnsi="宋体"/>
            <w:color w:val="auto"/>
          </w:rPr>
          <w:t>第九部分</w:t>
        </w:r>
        <w:r w:rsidR="00E92BF7">
          <w:rPr>
            <w:rFonts w:asciiTheme="minorHAnsi" w:eastAsiaTheme="minorEastAsia" w:hAnsiTheme="minorHAnsi" w:cstheme="minorBidi"/>
            <w:szCs w:val="22"/>
          </w:rPr>
          <w:tab/>
        </w:r>
        <w:r w:rsidR="00E92BF7">
          <w:rPr>
            <w:rStyle w:val="afff2"/>
            <w:rFonts w:ascii="宋体" w:hAnsi="宋体"/>
            <w:color w:val="auto"/>
          </w:rPr>
          <w:t>基金的投资</w:t>
        </w:r>
        <w:r w:rsidR="00E92BF7">
          <w:tab/>
        </w:r>
        <w:r w:rsidR="00E92BF7">
          <w:fldChar w:fldCharType="begin"/>
        </w:r>
        <w:r w:rsidR="00E92BF7">
          <w:instrText xml:space="preserve"> PAGEREF _Toc48808887 \h </w:instrText>
        </w:r>
        <w:r w:rsidR="00E92BF7">
          <w:fldChar w:fldCharType="separate"/>
        </w:r>
        <w:r w:rsidR="00E92BF7">
          <w:t>32</w:t>
        </w:r>
        <w:r w:rsidR="00E92BF7">
          <w:fldChar w:fldCharType="end"/>
        </w:r>
      </w:hyperlink>
    </w:p>
    <w:p w:rsidR="00822B64" w:rsidRDefault="00952DE9">
      <w:pPr>
        <w:pStyle w:val="25"/>
        <w:rPr>
          <w:rFonts w:asciiTheme="minorHAnsi" w:eastAsiaTheme="minorEastAsia" w:hAnsiTheme="minorHAnsi" w:cstheme="minorBidi"/>
          <w:szCs w:val="22"/>
        </w:rPr>
      </w:pPr>
      <w:hyperlink w:anchor="_Toc48808888" w:history="1">
        <w:r w:rsidR="00E92BF7">
          <w:rPr>
            <w:rStyle w:val="afff2"/>
            <w:rFonts w:ascii="宋体" w:hAnsi="宋体"/>
            <w:color w:val="auto"/>
          </w:rPr>
          <w:t>第十部分</w:t>
        </w:r>
        <w:r w:rsidR="00E92BF7">
          <w:rPr>
            <w:rFonts w:asciiTheme="minorHAnsi" w:eastAsiaTheme="minorEastAsia" w:hAnsiTheme="minorHAnsi" w:cstheme="minorBidi"/>
            <w:szCs w:val="22"/>
          </w:rPr>
          <w:tab/>
        </w:r>
        <w:r w:rsidR="00E92BF7">
          <w:rPr>
            <w:rStyle w:val="afff2"/>
            <w:rFonts w:ascii="宋体" w:hAnsi="宋体"/>
            <w:color w:val="auto"/>
          </w:rPr>
          <w:t>基金的财产</w:t>
        </w:r>
        <w:r w:rsidR="00E92BF7">
          <w:tab/>
        </w:r>
        <w:r w:rsidR="00E92BF7">
          <w:fldChar w:fldCharType="begin"/>
        </w:r>
        <w:r w:rsidR="00E92BF7">
          <w:instrText xml:space="preserve"> PAGEREF _Toc48808888 \h </w:instrText>
        </w:r>
        <w:r w:rsidR="00E92BF7">
          <w:fldChar w:fldCharType="separate"/>
        </w:r>
        <w:r w:rsidR="00E92BF7">
          <w:t>41</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89" w:history="1">
        <w:r w:rsidR="00E92BF7">
          <w:rPr>
            <w:rStyle w:val="afff2"/>
            <w:rFonts w:ascii="宋体" w:hAnsi="宋体"/>
            <w:color w:val="auto"/>
          </w:rPr>
          <w:t>第十一部分</w:t>
        </w:r>
        <w:r w:rsidR="00E92BF7">
          <w:rPr>
            <w:rFonts w:asciiTheme="minorHAnsi" w:eastAsiaTheme="minorEastAsia" w:hAnsiTheme="minorHAnsi" w:cstheme="minorBidi"/>
            <w:szCs w:val="22"/>
          </w:rPr>
          <w:tab/>
        </w:r>
        <w:r w:rsidR="00E92BF7">
          <w:rPr>
            <w:rStyle w:val="afff2"/>
            <w:rFonts w:ascii="宋体" w:hAnsi="宋体"/>
            <w:color w:val="auto"/>
          </w:rPr>
          <w:t>基金资产估值</w:t>
        </w:r>
        <w:r w:rsidR="00E92BF7">
          <w:tab/>
        </w:r>
        <w:r w:rsidR="00E92BF7">
          <w:fldChar w:fldCharType="begin"/>
        </w:r>
        <w:r w:rsidR="00E92BF7">
          <w:instrText xml:space="preserve"> PAGEREF _Toc48808889 \h </w:instrText>
        </w:r>
        <w:r w:rsidR="00E92BF7">
          <w:fldChar w:fldCharType="separate"/>
        </w:r>
        <w:r w:rsidR="00E92BF7">
          <w:t>44</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0" w:history="1">
        <w:r w:rsidR="00E92BF7">
          <w:rPr>
            <w:rStyle w:val="afff2"/>
            <w:rFonts w:ascii="宋体" w:hAnsi="宋体"/>
            <w:color w:val="auto"/>
          </w:rPr>
          <w:t>第十二部分</w:t>
        </w:r>
        <w:r w:rsidR="00E92BF7">
          <w:rPr>
            <w:rFonts w:asciiTheme="minorHAnsi" w:eastAsiaTheme="minorEastAsia" w:hAnsiTheme="minorHAnsi" w:cstheme="minorBidi"/>
            <w:szCs w:val="22"/>
          </w:rPr>
          <w:tab/>
        </w:r>
        <w:r w:rsidR="00E92BF7">
          <w:rPr>
            <w:rStyle w:val="afff2"/>
            <w:rFonts w:ascii="宋体" w:hAnsi="宋体"/>
            <w:color w:val="auto"/>
          </w:rPr>
          <w:t>基金的收益与分配</w:t>
        </w:r>
        <w:r w:rsidR="00E92BF7">
          <w:tab/>
        </w:r>
        <w:r w:rsidR="00E92BF7">
          <w:fldChar w:fldCharType="begin"/>
        </w:r>
        <w:r w:rsidR="00E92BF7">
          <w:instrText xml:space="preserve"> PAGEREF _Toc48808890 \h </w:instrText>
        </w:r>
        <w:r w:rsidR="00E92BF7">
          <w:fldChar w:fldCharType="separate"/>
        </w:r>
        <w:r w:rsidR="00E92BF7">
          <w:t>48</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1" w:history="1">
        <w:r w:rsidR="00E92BF7">
          <w:rPr>
            <w:rStyle w:val="afff2"/>
            <w:rFonts w:ascii="宋体" w:hAnsi="宋体"/>
            <w:color w:val="auto"/>
          </w:rPr>
          <w:t>第十三部分</w:t>
        </w:r>
        <w:r w:rsidR="00E92BF7">
          <w:rPr>
            <w:rFonts w:asciiTheme="minorHAnsi" w:eastAsiaTheme="minorEastAsia" w:hAnsiTheme="minorHAnsi" w:cstheme="minorBidi"/>
            <w:szCs w:val="22"/>
          </w:rPr>
          <w:tab/>
        </w:r>
        <w:r w:rsidR="00E92BF7">
          <w:rPr>
            <w:rStyle w:val="afff2"/>
            <w:rFonts w:ascii="宋体" w:hAnsi="宋体"/>
            <w:color w:val="auto"/>
          </w:rPr>
          <w:t>基金的费用与税收</w:t>
        </w:r>
        <w:r w:rsidR="00E92BF7">
          <w:tab/>
        </w:r>
        <w:r w:rsidR="00E92BF7">
          <w:fldChar w:fldCharType="begin"/>
        </w:r>
        <w:r w:rsidR="00E92BF7">
          <w:instrText xml:space="preserve"> PAGEREF _Toc48808891 \h </w:instrText>
        </w:r>
        <w:r w:rsidR="00E92BF7">
          <w:fldChar w:fldCharType="separate"/>
        </w:r>
        <w:r w:rsidR="00E92BF7">
          <w:t>50</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2" w:history="1">
        <w:r w:rsidR="00E92BF7">
          <w:rPr>
            <w:rStyle w:val="afff2"/>
            <w:rFonts w:ascii="宋体" w:hAnsi="宋体"/>
            <w:color w:val="auto"/>
          </w:rPr>
          <w:t>第十四部分</w:t>
        </w:r>
        <w:r w:rsidR="00E92BF7">
          <w:rPr>
            <w:rFonts w:asciiTheme="minorHAnsi" w:eastAsiaTheme="minorEastAsia" w:hAnsiTheme="minorHAnsi" w:cstheme="minorBidi"/>
            <w:szCs w:val="22"/>
          </w:rPr>
          <w:tab/>
        </w:r>
        <w:r w:rsidR="00E92BF7">
          <w:rPr>
            <w:rStyle w:val="afff2"/>
            <w:rFonts w:ascii="宋体" w:hAnsi="宋体"/>
            <w:color w:val="auto"/>
          </w:rPr>
          <w:t>基金的会计与审计</w:t>
        </w:r>
        <w:r w:rsidR="00E92BF7">
          <w:tab/>
        </w:r>
        <w:r w:rsidR="00E92BF7">
          <w:fldChar w:fldCharType="begin"/>
        </w:r>
        <w:r w:rsidR="00E92BF7">
          <w:instrText xml:space="preserve"> PAGEREF _Toc48808892 \h </w:instrText>
        </w:r>
        <w:r w:rsidR="00E92BF7">
          <w:fldChar w:fldCharType="separate"/>
        </w:r>
        <w:r w:rsidR="00E92BF7">
          <w:t>52</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3" w:history="1">
        <w:r w:rsidR="00E92BF7">
          <w:rPr>
            <w:rStyle w:val="afff2"/>
            <w:rFonts w:ascii="宋体" w:hAnsi="宋体"/>
            <w:color w:val="auto"/>
          </w:rPr>
          <w:t>第十五部分</w:t>
        </w:r>
        <w:r w:rsidR="00E92BF7">
          <w:rPr>
            <w:rFonts w:asciiTheme="minorHAnsi" w:eastAsiaTheme="minorEastAsia" w:hAnsiTheme="minorHAnsi" w:cstheme="minorBidi"/>
            <w:szCs w:val="22"/>
          </w:rPr>
          <w:tab/>
        </w:r>
        <w:r w:rsidR="00E92BF7">
          <w:rPr>
            <w:rStyle w:val="afff2"/>
            <w:rFonts w:ascii="宋体" w:hAnsi="宋体"/>
            <w:color w:val="auto"/>
          </w:rPr>
          <w:t>基金的信息披露</w:t>
        </w:r>
        <w:r w:rsidR="00E92BF7">
          <w:tab/>
        </w:r>
        <w:r w:rsidR="00E92BF7">
          <w:fldChar w:fldCharType="begin"/>
        </w:r>
        <w:r w:rsidR="00E92BF7">
          <w:instrText xml:space="preserve"> PAGEREF _Toc48808893 \h </w:instrText>
        </w:r>
        <w:r w:rsidR="00E92BF7">
          <w:fldChar w:fldCharType="separate"/>
        </w:r>
        <w:r w:rsidR="00E92BF7">
          <w:t>53</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4" w:history="1">
        <w:r w:rsidR="00E92BF7">
          <w:rPr>
            <w:rStyle w:val="afff2"/>
            <w:rFonts w:ascii="宋体" w:hAnsi="宋体"/>
            <w:color w:val="auto"/>
          </w:rPr>
          <w:t>第十六部分</w:t>
        </w:r>
        <w:r w:rsidR="00E92BF7">
          <w:rPr>
            <w:rFonts w:asciiTheme="minorHAnsi" w:eastAsiaTheme="minorEastAsia" w:hAnsiTheme="minorHAnsi" w:cstheme="minorBidi"/>
            <w:szCs w:val="22"/>
          </w:rPr>
          <w:tab/>
        </w:r>
        <w:r w:rsidR="00E92BF7">
          <w:rPr>
            <w:rStyle w:val="afff2"/>
            <w:rFonts w:ascii="宋体" w:hAnsi="宋体"/>
            <w:color w:val="auto"/>
          </w:rPr>
          <w:t>侧袋机制</w:t>
        </w:r>
        <w:r w:rsidR="00E92BF7">
          <w:tab/>
        </w:r>
        <w:r w:rsidR="00E92BF7">
          <w:fldChar w:fldCharType="begin"/>
        </w:r>
        <w:r w:rsidR="00E92BF7">
          <w:instrText xml:space="preserve"> PAGEREF _Toc48808894 \h </w:instrText>
        </w:r>
        <w:r w:rsidR="00E92BF7">
          <w:fldChar w:fldCharType="separate"/>
        </w:r>
        <w:r w:rsidR="00E92BF7">
          <w:t>59</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5" w:history="1">
        <w:r w:rsidR="00E92BF7">
          <w:rPr>
            <w:rStyle w:val="afff2"/>
            <w:rFonts w:ascii="宋体" w:hAnsi="宋体"/>
            <w:color w:val="auto"/>
          </w:rPr>
          <w:t>第十七部分</w:t>
        </w:r>
        <w:r w:rsidR="00E92BF7">
          <w:rPr>
            <w:rFonts w:asciiTheme="minorHAnsi" w:eastAsiaTheme="minorEastAsia" w:hAnsiTheme="minorHAnsi" w:cstheme="minorBidi"/>
            <w:szCs w:val="22"/>
          </w:rPr>
          <w:tab/>
        </w:r>
        <w:r w:rsidR="00E92BF7">
          <w:rPr>
            <w:rStyle w:val="afff2"/>
            <w:rFonts w:ascii="宋体" w:hAnsi="宋体"/>
            <w:color w:val="auto"/>
          </w:rPr>
          <w:t>风险揭示</w:t>
        </w:r>
        <w:r w:rsidR="00E92BF7">
          <w:tab/>
        </w:r>
        <w:r w:rsidR="00E92BF7">
          <w:fldChar w:fldCharType="begin"/>
        </w:r>
        <w:r w:rsidR="00E92BF7">
          <w:instrText xml:space="preserve"> PAGEREF _Toc48808895 \h </w:instrText>
        </w:r>
        <w:r w:rsidR="00E92BF7">
          <w:fldChar w:fldCharType="separate"/>
        </w:r>
        <w:r w:rsidR="00E92BF7">
          <w:t>61</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6" w:history="1">
        <w:r w:rsidR="00E92BF7">
          <w:rPr>
            <w:rStyle w:val="afff2"/>
            <w:rFonts w:ascii="宋体" w:hAnsi="宋体"/>
            <w:color w:val="auto"/>
          </w:rPr>
          <w:t>第十八部分</w:t>
        </w:r>
        <w:r w:rsidR="00E92BF7">
          <w:rPr>
            <w:rFonts w:asciiTheme="minorHAnsi" w:eastAsiaTheme="minorEastAsia" w:hAnsiTheme="minorHAnsi" w:cstheme="minorBidi"/>
            <w:szCs w:val="22"/>
          </w:rPr>
          <w:tab/>
        </w:r>
        <w:r w:rsidR="00E92BF7">
          <w:rPr>
            <w:rStyle w:val="afff2"/>
            <w:rFonts w:ascii="宋体" w:hAnsi="宋体"/>
            <w:color w:val="auto"/>
          </w:rPr>
          <w:t>基金合同的变更、终止和基金财产的清算</w:t>
        </w:r>
        <w:r w:rsidR="00E92BF7">
          <w:tab/>
        </w:r>
        <w:r w:rsidR="00E92BF7">
          <w:fldChar w:fldCharType="begin"/>
        </w:r>
        <w:r w:rsidR="00E92BF7">
          <w:instrText xml:space="preserve"> PAGEREF _Toc48808896 \h </w:instrText>
        </w:r>
        <w:r w:rsidR="00E92BF7">
          <w:fldChar w:fldCharType="separate"/>
        </w:r>
        <w:r w:rsidR="00E92BF7">
          <w:t>66</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7" w:history="1">
        <w:r w:rsidR="00E92BF7">
          <w:rPr>
            <w:rStyle w:val="afff2"/>
            <w:rFonts w:ascii="宋体" w:hAnsi="宋体"/>
            <w:color w:val="auto"/>
          </w:rPr>
          <w:t>第十九部分</w:t>
        </w:r>
        <w:r w:rsidR="00E92BF7">
          <w:rPr>
            <w:rFonts w:asciiTheme="minorHAnsi" w:eastAsiaTheme="minorEastAsia" w:hAnsiTheme="minorHAnsi" w:cstheme="minorBidi"/>
            <w:szCs w:val="22"/>
          </w:rPr>
          <w:tab/>
        </w:r>
        <w:r w:rsidR="00E92BF7">
          <w:rPr>
            <w:rStyle w:val="afff2"/>
            <w:rFonts w:ascii="宋体" w:hAnsi="宋体"/>
            <w:color w:val="auto"/>
          </w:rPr>
          <w:t>基金合同的内容摘要</w:t>
        </w:r>
        <w:r w:rsidR="00E92BF7">
          <w:tab/>
        </w:r>
        <w:r w:rsidR="00E92BF7">
          <w:fldChar w:fldCharType="begin"/>
        </w:r>
        <w:r w:rsidR="00E92BF7">
          <w:instrText xml:space="preserve"> PAGEREF _Toc48808897 \h </w:instrText>
        </w:r>
        <w:r w:rsidR="00E92BF7">
          <w:fldChar w:fldCharType="separate"/>
        </w:r>
        <w:r w:rsidR="00E92BF7">
          <w:t>68</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8" w:history="1">
        <w:r w:rsidR="00E92BF7">
          <w:rPr>
            <w:rStyle w:val="afff2"/>
            <w:rFonts w:ascii="宋体" w:hAnsi="宋体"/>
            <w:color w:val="auto"/>
          </w:rPr>
          <w:t>第二十部分</w:t>
        </w:r>
        <w:r w:rsidR="00E92BF7">
          <w:rPr>
            <w:rFonts w:asciiTheme="minorHAnsi" w:eastAsiaTheme="minorEastAsia" w:hAnsiTheme="minorHAnsi" w:cstheme="minorBidi"/>
            <w:szCs w:val="22"/>
          </w:rPr>
          <w:tab/>
        </w:r>
        <w:r w:rsidR="00E92BF7">
          <w:rPr>
            <w:rStyle w:val="afff2"/>
            <w:rFonts w:ascii="宋体" w:hAnsi="宋体"/>
            <w:color w:val="auto"/>
          </w:rPr>
          <w:t>基金托管协议的内容摘要</w:t>
        </w:r>
        <w:r w:rsidR="00E92BF7">
          <w:tab/>
        </w:r>
        <w:r w:rsidR="00E92BF7">
          <w:fldChar w:fldCharType="begin"/>
        </w:r>
        <w:r w:rsidR="00E92BF7">
          <w:instrText xml:space="preserve"> PAGEREF _Toc48808898 \h </w:instrText>
        </w:r>
        <w:r w:rsidR="00E92BF7">
          <w:fldChar w:fldCharType="separate"/>
        </w:r>
        <w:r w:rsidR="00E92BF7">
          <w:t>82</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899" w:history="1">
        <w:r w:rsidR="00E92BF7">
          <w:rPr>
            <w:rStyle w:val="afff2"/>
            <w:rFonts w:ascii="宋体" w:hAnsi="宋体"/>
            <w:color w:val="auto"/>
          </w:rPr>
          <w:t>第二十一部分</w:t>
        </w:r>
        <w:r w:rsidR="00E92BF7">
          <w:rPr>
            <w:rFonts w:asciiTheme="minorHAnsi" w:eastAsiaTheme="minorEastAsia" w:hAnsiTheme="minorHAnsi" w:cstheme="minorBidi"/>
            <w:szCs w:val="22"/>
          </w:rPr>
          <w:tab/>
        </w:r>
        <w:r w:rsidR="00E92BF7">
          <w:rPr>
            <w:rStyle w:val="afff2"/>
            <w:rFonts w:ascii="宋体" w:hAnsi="宋体"/>
            <w:color w:val="auto"/>
          </w:rPr>
          <w:t>基金份额持有人服务</w:t>
        </w:r>
        <w:r w:rsidR="00E92BF7">
          <w:tab/>
        </w:r>
        <w:r w:rsidR="00E92BF7">
          <w:fldChar w:fldCharType="begin"/>
        </w:r>
        <w:r w:rsidR="00E92BF7">
          <w:instrText xml:space="preserve"> PAGEREF _Toc48808899 \h </w:instrText>
        </w:r>
        <w:r w:rsidR="00E92BF7">
          <w:fldChar w:fldCharType="separate"/>
        </w:r>
        <w:r w:rsidR="00E92BF7">
          <w:t>95</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900" w:history="1">
        <w:r w:rsidR="00E92BF7">
          <w:rPr>
            <w:rStyle w:val="afff2"/>
            <w:rFonts w:ascii="宋体" w:hAnsi="宋体"/>
            <w:color w:val="auto"/>
          </w:rPr>
          <w:t>第二十二部分</w:t>
        </w:r>
        <w:r w:rsidR="00E92BF7">
          <w:rPr>
            <w:rFonts w:asciiTheme="minorHAnsi" w:eastAsiaTheme="minorEastAsia" w:hAnsiTheme="minorHAnsi" w:cstheme="minorBidi"/>
            <w:szCs w:val="22"/>
          </w:rPr>
          <w:tab/>
        </w:r>
        <w:r w:rsidR="00E92BF7">
          <w:rPr>
            <w:rStyle w:val="afff2"/>
            <w:rFonts w:ascii="宋体" w:hAnsi="宋体"/>
            <w:color w:val="auto"/>
          </w:rPr>
          <w:t>其他应披露事项</w:t>
        </w:r>
        <w:r w:rsidR="00E92BF7">
          <w:tab/>
        </w:r>
        <w:r w:rsidR="00E92BF7">
          <w:fldChar w:fldCharType="begin"/>
        </w:r>
        <w:r w:rsidR="00E92BF7">
          <w:instrText xml:space="preserve"> PAGEREF _Toc48808900 \h </w:instrText>
        </w:r>
        <w:r w:rsidR="00E92BF7">
          <w:fldChar w:fldCharType="separate"/>
        </w:r>
        <w:r w:rsidR="00E92BF7">
          <w:t>97</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901" w:history="1">
        <w:r w:rsidR="00E92BF7">
          <w:rPr>
            <w:rStyle w:val="afff2"/>
            <w:rFonts w:ascii="宋体" w:hAnsi="宋体"/>
            <w:color w:val="auto"/>
          </w:rPr>
          <w:t>第二十三部分</w:t>
        </w:r>
        <w:r w:rsidR="00E92BF7">
          <w:rPr>
            <w:rFonts w:asciiTheme="minorHAnsi" w:eastAsiaTheme="minorEastAsia" w:hAnsiTheme="minorHAnsi" w:cstheme="minorBidi"/>
            <w:szCs w:val="22"/>
          </w:rPr>
          <w:tab/>
        </w:r>
        <w:r w:rsidR="00E92BF7">
          <w:rPr>
            <w:rStyle w:val="afff2"/>
            <w:rFonts w:ascii="宋体" w:hAnsi="宋体"/>
            <w:color w:val="auto"/>
          </w:rPr>
          <w:t>招募说明书存放及其查阅方式</w:t>
        </w:r>
        <w:r w:rsidR="00E92BF7">
          <w:tab/>
        </w:r>
        <w:r w:rsidR="00E92BF7">
          <w:fldChar w:fldCharType="begin"/>
        </w:r>
        <w:r w:rsidR="00E92BF7">
          <w:instrText xml:space="preserve"> PAGEREF _Toc48808901 \h </w:instrText>
        </w:r>
        <w:r w:rsidR="00E92BF7">
          <w:fldChar w:fldCharType="separate"/>
        </w:r>
        <w:r w:rsidR="00E92BF7">
          <w:t>98</w:t>
        </w:r>
        <w:r w:rsidR="00E92BF7">
          <w:fldChar w:fldCharType="end"/>
        </w:r>
      </w:hyperlink>
    </w:p>
    <w:p w:rsidR="00822B64" w:rsidRDefault="00952DE9">
      <w:pPr>
        <w:pStyle w:val="25"/>
        <w:tabs>
          <w:tab w:val="left" w:pos="1680"/>
        </w:tabs>
        <w:rPr>
          <w:rFonts w:asciiTheme="minorHAnsi" w:eastAsiaTheme="minorEastAsia" w:hAnsiTheme="minorHAnsi" w:cstheme="minorBidi"/>
          <w:szCs w:val="22"/>
        </w:rPr>
      </w:pPr>
      <w:hyperlink w:anchor="_Toc48808902" w:history="1">
        <w:r w:rsidR="00E92BF7">
          <w:rPr>
            <w:rStyle w:val="afff2"/>
            <w:rFonts w:ascii="宋体" w:hAnsi="宋体"/>
            <w:color w:val="auto"/>
          </w:rPr>
          <w:t>第二十四部分</w:t>
        </w:r>
        <w:r w:rsidR="00E92BF7">
          <w:rPr>
            <w:rFonts w:asciiTheme="minorHAnsi" w:eastAsiaTheme="minorEastAsia" w:hAnsiTheme="minorHAnsi" w:cstheme="minorBidi"/>
            <w:szCs w:val="22"/>
          </w:rPr>
          <w:tab/>
        </w:r>
        <w:r w:rsidR="00E92BF7">
          <w:rPr>
            <w:rStyle w:val="afff2"/>
            <w:rFonts w:ascii="宋体" w:hAnsi="宋体"/>
            <w:color w:val="auto"/>
          </w:rPr>
          <w:t>备查文件</w:t>
        </w:r>
        <w:r w:rsidR="00E92BF7">
          <w:tab/>
        </w:r>
        <w:r w:rsidR="00E92BF7">
          <w:fldChar w:fldCharType="begin"/>
        </w:r>
        <w:r w:rsidR="00E92BF7">
          <w:instrText xml:space="preserve"> PAGEREF _Toc48808902 \h </w:instrText>
        </w:r>
        <w:r w:rsidR="00E92BF7">
          <w:fldChar w:fldCharType="separate"/>
        </w:r>
        <w:r w:rsidR="00E92BF7">
          <w:t>99</w:t>
        </w:r>
        <w:r w:rsidR="00E92BF7">
          <w:fldChar w:fldCharType="end"/>
        </w:r>
      </w:hyperlink>
    </w:p>
    <w:p w:rsidR="00822B64" w:rsidRDefault="00E92BF7">
      <w:r>
        <w:fldChar w:fldCharType="end"/>
      </w:r>
    </w:p>
    <w:p w:rsidR="00822B64" w:rsidRDefault="00822B64">
      <w:pPr>
        <w:pStyle w:val="21"/>
        <w:numPr>
          <w:ilvl w:val="0"/>
          <w:numId w:val="28"/>
        </w:numPr>
        <w:snapToGrid w:val="0"/>
        <w:spacing w:before="0" w:after="0" w:line="360" w:lineRule="auto"/>
        <w:jc w:val="left"/>
        <w:rPr>
          <w:rFonts w:ascii="宋体" w:eastAsia="宋体" w:hAnsi="宋体"/>
        </w:rPr>
        <w:sectPr w:rsidR="00822B64">
          <w:footerReference w:type="default" r:id="rId15"/>
          <w:pgSz w:w="11906" w:h="16838"/>
          <w:pgMar w:top="1440" w:right="1800" w:bottom="1440" w:left="1800" w:header="851" w:footer="992" w:gutter="0"/>
          <w:pgNumType w:start="1"/>
          <w:cols w:space="425"/>
          <w:docGrid w:type="lines" w:linePitch="312"/>
        </w:sectPr>
      </w:pPr>
      <w:bookmarkStart w:id="16" w:name="_Toc48808879"/>
    </w:p>
    <w:p w:rsidR="00822B64" w:rsidRDefault="00E92BF7">
      <w:pPr>
        <w:pStyle w:val="21"/>
        <w:numPr>
          <w:ilvl w:val="0"/>
          <w:numId w:val="28"/>
        </w:numPr>
        <w:snapToGrid w:val="0"/>
        <w:spacing w:before="0" w:after="0" w:line="360" w:lineRule="auto"/>
        <w:jc w:val="left"/>
        <w:rPr>
          <w:rFonts w:ascii="宋体" w:eastAsia="宋体" w:hAnsi="宋体"/>
        </w:rPr>
      </w:pPr>
      <w:r>
        <w:rPr>
          <w:rFonts w:ascii="宋体" w:eastAsia="宋体" w:hAnsi="宋体" w:hint="eastAsia"/>
        </w:rPr>
        <w:lastRenderedPageBreak/>
        <w:t>绪言</w:t>
      </w:r>
      <w:bookmarkEnd w:id="4"/>
      <w:bookmarkEnd w:id="5"/>
      <w:bookmarkEnd w:id="6"/>
      <w:bookmarkEnd w:id="7"/>
      <w:bookmarkEnd w:id="8"/>
      <w:bookmarkEnd w:id="9"/>
      <w:bookmarkEnd w:id="10"/>
      <w:bookmarkEnd w:id="11"/>
      <w:bookmarkEnd w:id="12"/>
      <w:bookmarkEnd w:id="16"/>
    </w:p>
    <w:bookmarkEnd w:id="13"/>
    <w:bookmarkEnd w:id="14"/>
    <w:bookmarkEnd w:id="15"/>
    <w:p w:rsidR="00822B64" w:rsidRDefault="00822B64">
      <w:pPr>
        <w:adjustRightInd w:val="0"/>
        <w:snapToGrid w:val="0"/>
        <w:spacing w:line="360" w:lineRule="auto"/>
        <w:ind w:firstLine="539"/>
        <w:rPr>
          <w:rFonts w:ascii="宋体" w:hAnsi="宋体"/>
          <w:szCs w:val="23"/>
        </w:rPr>
      </w:pPr>
    </w:p>
    <w:p w:rsidR="00822B64" w:rsidRDefault="00E92BF7">
      <w:pPr>
        <w:adjustRightInd w:val="0"/>
        <w:snapToGrid w:val="0"/>
        <w:spacing w:line="360" w:lineRule="auto"/>
        <w:ind w:firstLineChars="200" w:firstLine="420"/>
        <w:rPr>
          <w:rFonts w:ascii="宋体" w:hAnsi="宋体"/>
          <w:szCs w:val="23"/>
        </w:rPr>
      </w:pPr>
      <w:r>
        <w:rPr>
          <w:rFonts w:ascii="宋体" w:hAnsi="宋体" w:hint="eastAsia"/>
          <w:szCs w:val="23"/>
        </w:rPr>
        <w:t>本招募说明书依据《中华人民共和国证券投资基金法》（以下简称“《基金法》”）、《公开募集证券投资基金运作管理办法》（以下简称“《运作办法》”）、《公开募集证券投资基金销售机构监督管理办法》（以下简称“《销售办法》”）、《公开募集证券投资基金信息披露管理办法》（以下简称“《信息披露办法》”）、《公开募集开放式证券投资基金流动性风险管理规定》（以下简称“《流动性风险管理规定》”）以及《</w:t>
      </w:r>
      <w:r>
        <w:rPr>
          <w:rFonts w:hint="eastAsia"/>
          <w:bCs/>
          <w:szCs w:val="21"/>
        </w:rPr>
        <w:t>东海鑫享</w:t>
      </w:r>
      <w:r>
        <w:rPr>
          <w:rFonts w:hint="eastAsia"/>
          <w:bCs/>
          <w:szCs w:val="21"/>
        </w:rPr>
        <w:t>66</w:t>
      </w:r>
      <w:r>
        <w:rPr>
          <w:rFonts w:hint="eastAsia"/>
          <w:bCs/>
          <w:szCs w:val="21"/>
        </w:rPr>
        <w:t>个月定期开放债券型证券投资基金</w:t>
      </w:r>
      <w:r>
        <w:rPr>
          <w:rFonts w:ascii="宋体" w:hAnsi="宋体"/>
          <w:szCs w:val="21"/>
        </w:rPr>
        <w:t>基金合同</w:t>
      </w:r>
      <w:r>
        <w:rPr>
          <w:rFonts w:ascii="宋体" w:hAnsi="宋体" w:hint="eastAsia"/>
          <w:szCs w:val="23"/>
        </w:rPr>
        <w:t>》编写。</w:t>
      </w:r>
    </w:p>
    <w:p w:rsidR="00822B64" w:rsidRDefault="00E92BF7">
      <w:pPr>
        <w:adjustRightInd w:val="0"/>
        <w:snapToGrid w:val="0"/>
        <w:spacing w:line="360" w:lineRule="auto"/>
        <w:ind w:firstLineChars="200" w:firstLine="420"/>
        <w:rPr>
          <w:rFonts w:ascii="宋体" w:hAnsi="宋体"/>
          <w:szCs w:val="23"/>
        </w:rPr>
      </w:pPr>
      <w:r>
        <w:rPr>
          <w:rFonts w:ascii="宋体" w:hAnsi="宋体"/>
          <w:szCs w:val="21"/>
        </w:rPr>
        <w:t>基金管理人承诺本招募说明书不存在任何虚假记载、误导性陈述或者重大遗漏，并对其真实性、准确性、完整性承担法律责任。本基金是根据本招募说明书所载明的资料申请募集的。本基金管理人没有委托或授权任何其他人提供未在本招募说明书中载明的信息,或对本招募说明书作任何解释或者说明</w:t>
      </w:r>
      <w:r>
        <w:rPr>
          <w:rFonts w:ascii="宋体" w:hAnsi="宋体" w:hint="eastAsia"/>
          <w:szCs w:val="23"/>
        </w:rPr>
        <w:t>。</w:t>
      </w:r>
    </w:p>
    <w:p w:rsidR="00822B64" w:rsidRDefault="00E92BF7">
      <w:pPr>
        <w:adjustRightInd w:val="0"/>
        <w:snapToGrid w:val="0"/>
        <w:spacing w:line="360" w:lineRule="auto"/>
        <w:ind w:firstLineChars="200" w:firstLine="420"/>
        <w:rPr>
          <w:rFonts w:ascii="宋体" w:hAnsi="宋体"/>
          <w:szCs w:val="23"/>
        </w:rPr>
      </w:pPr>
      <w:r>
        <w:rPr>
          <w:rFonts w:ascii="宋体" w:hAnsi="宋体"/>
          <w:szCs w:val="21"/>
        </w:rPr>
        <w:t>本招募说明书根据本基金的基金合同编写，并经中国证监会</w:t>
      </w:r>
      <w:r>
        <w:rPr>
          <w:rFonts w:ascii="宋体" w:hAnsi="宋体" w:hint="eastAsia"/>
          <w:szCs w:val="21"/>
        </w:rPr>
        <w:t>注册</w:t>
      </w:r>
      <w:r>
        <w:rPr>
          <w:rFonts w:ascii="宋体" w:hAnsi="宋体"/>
          <w:szCs w:val="21"/>
        </w:rPr>
        <w:t>。基金合同是约定基金</w:t>
      </w:r>
      <w:r>
        <w:rPr>
          <w:rFonts w:ascii="宋体" w:hAnsi="宋体" w:hint="eastAsia"/>
          <w:szCs w:val="21"/>
        </w:rPr>
        <w:t>合同</w:t>
      </w:r>
      <w:r>
        <w:rPr>
          <w:rFonts w:ascii="宋体" w:hAnsi="宋体"/>
          <w:szCs w:val="21"/>
        </w:rPr>
        <w:t>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Pr>
          <w:rFonts w:ascii="宋体" w:hAnsi="宋体" w:hint="eastAsia"/>
          <w:szCs w:val="23"/>
        </w:rPr>
        <w:t>。</w:t>
      </w:r>
    </w:p>
    <w:p w:rsidR="00822B64" w:rsidRDefault="00E92BF7">
      <w:pPr>
        <w:adjustRightInd w:val="0"/>
        <w:snapToGrid w:val="0"/>
        <w:spacing w:line="360" w:lineRule="auto"/>
        <w:ind w:firstLineChars="200" w:firstLine="420"/>
        <w:rPr>
          <w:rFonts w:ascii="宋体" w:hAnsi="宋体"/>
          <w:szCs w:val="23"/>
        </w:rPr>
      </w:pPr>
      <w:r>
        <w:rPr>
          <w:rFonts w:ascii="宋体" w:hAnsi="宋体" w:hint="eastAsia"/>
          <w:szCs w:val="23"/>
        </w:rPr>
        <w:t>本基金按照中国法律法规成立并运作，若基金合同、招募说明书的内容与届时有效的法律法规的强制性规定不一致，应当以届时有效的法律法规的规定为准。</w:t>
      </w:r>
    </w:p>
    <w:p w:rsidR="00822B64" w:rsidRDefault="00E92BF7">
      <w:pPr>
        <w:pStyle w:val="ab"/>
        <w:snapToGrid w:val="0"/>
        <w:spacing w:line="360" w:lineRule="auto"/>
        <w:ind w:firstLineChars="200"/>
        <w:rPr>
          <w:rFonts w:ascii="宋体" w:hAnsi="宋体"/>
          <w:szCs w:val="21"/>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17" w:name="_Toc362533451"/>
      <w:bookmarkStart w:id="18" w:name="_Toc48808880"/>
      <w:bookmarkStart w:id="19" w:name="_Toc362455179"/>
      <w:bookmarkStart w:id="20" w:name="_Toc360793494"/>
      <w:bookmarkStart w:id="21" w:name="_Toc360794512"/>
      <w:bookmarkStart w:id="22" w:name="_Toc360793846"/>
      <w:bookmarkStart w:id="23" w:name="_Toc360794404"/>
      <w:bookmarkStart w:id="24" w:name="_Toc360794096"/>
      <w:r>
        <w:rPr>
          <w:rFonts w:ascii="宋体" w:eastAsia="宋体" w:hAnsi="宋体" w:hint="eastAsia"/>
        </w:rPr>
        <w:lastRenderedPageBreak/>
        <w:t>释义</w:t>
      </w:r>
      <w:bookmarkEnd w:id="17"/>
      <w:bookmarkEnd w:id="18"/>
      <w:bookmarkEnd w:id="19"/>
      <w:bookmarkEnd w:id="20"/>
      <w:bookmarkEnd w:id="21"/>
      <w:bookmarkEnd w:id="22"/>
      <w:bookmarkEnd w:id="23"/>
      <w:bookmarkEnd w:id="24"/>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bCs/>
          <w:szCs w:val="21"/>
        </w:rPr>
        <w:t>在本</w:t>
      </w:r>
      <w:r>
        <w:rPr>
          <w:rFonts w:ascii="宋体" w:hAnsi="宋体" w:hint="eastAsia"/>
          <w:bCs/>
          <w:szCs w:val="21"/>
        </w:rPr>
        <w:t>招募说明书中</w:t>
      </w:r>
      <w:r>
        <w:rPr>
          <w:rFonts w:ascii="宋体" w:hAnsi="宋体"/>
          <w:bCs/>
          <w:szCs w:val="21"/>
        </w:rPr>
        <w:t>，除非文意另有所指，下列词语或简称具有如下含义：</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基金或本基金：指</w:t>
      </w:r>
      <w:r>
        <w:rPr>
          <w:rFonts w:ascii="宋体" w:hAnsi="宋体" w:hint="eastAsia"/>
          <w:szCs w:val="21"/>
        </w:rPr>
        <w:t>东海鑫享66个月定期开放债券型证券投资基金</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基金管理人：指</w:t>
      </w:r>
      <w:r>
        <w:rPr>
          <w:rFonts w:ascii="宋体" w:hAnsi="宋体" w:hint="eastAsia"/>
          <w:szCs w:val="21"/>
        </w:rPr>
        <w:t>东海基金管理有限责任公司</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基金托管人：指</w:t>
      </w:r>
      <w:r>
        <w:rPr>
          <w:rFonts w:ascii="宋体" w:hAnsi="宋体" w:hint="eastAsia"/>
          <w:szCs w:val="21"/>
        </w:rPr>
        <w:t>兴业银行股份有限公司</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基金合同：指《</w:t>
      </w:r>
      <w:r>
        <w:rPr>
          <w:rFonts w:ascii="宋体" w:hAnsi="宋体" w:hint="eastAsia"/>
          <w:szCs w:val="21"/>
        </w:rPr>
        <w:t>东海鑫享66个月定期开放债券型证券投资基金</w:t>
      </w:r>
      <w:r>
        <w:rPr>
          <w:rFonts w:ascii="宋体" w:hAnsi="宋体"/>
          <w:szCs w:val="21"/>
        </w:rPr>
        <w:t>基金合同》及对基金合同的任何有效修订和补充</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托管协议：指基金管理人与基金托管人就本基金签订之《</w:t>
      </w:r>
      <w:r>
        <w:rPr>
          <w:rFonts w:ascii="宋体" w:hAnsi="宋体" w:hint="eastAsia"/>
          <w:szCs w:val="21"/>
        </w:rPr>
        <w:t>东海鑫享66个月定期开放债券型证券投资基金</w:t>
      </w:r>
      <w:r>
        <w:rPr>
          <w:rFonts w:ascii="宋体" w:hAnsi="宋体"/>
          <w:szCs w:val="21"/>
        </w:rPr>
        <w:t>托管协议》及对该托管协议的任何有效修订和补充</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招募说明书</w:t>
      </w:r>
      <w:r>
        <w:rPr>
          <w:rFonts w:ascii="宋体" w:hAnsi="宋体" w:hint="eastAsia"/>
          <w:szCs w:val="21"/>
        </w:rPr>
        <w:t>或本招募说明书</w:t>
      </w:r>
      <w:r>
        <w:rPr>
          <w:rFonts w:ascii="宋体" w:hAnsi="宋体"/>
          <w:szCs w:val="21"/>
        </w:rPr>
        <w:t>：指《</w:t>
      </w:r>
      <w:r>
        <w:rPr>
          <w:rFonts w:ascii="宋体" w:hAnsi="宋体" w:hint="eastAsia"/>
          <w:szCs w:val="21"/>
        </w:rPr>
        <w:t>东海鑫享66个月定期开放债券型证券投资基金</w:t>
      </w:r>
      <w:r>
        <w:rPr>
          <w:rFonts w:ascii="宋体" w:hAnsi="宋体"/>
          <w:szCs w:val="21"/>
        </w:rPr>
        <w:t>招募说明书》及其更新</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基金产品资料概要：指《东海鑫享66个月定期开放债券型证券投资基金基金产品资料概要》及其更新（基金合同关于基金产品资料概要的编制、披露及更新等内容，将不晚于2020年9月1日起执行）</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基金份额发售公告：指《</w:t>
      </w:r>
      <w:r>
        <w:rPr>
          <w:rFonts w:ascii="宋体" w:hAnsi="宋体" w:hint="eastAsia"/>
          <w:szCs w:val="21"/>
        </w:rPr>
        <w:t>东海鑫享66个月定期开放债券型证券投资基金</w:t>
      </w:r>
      <w:r>
        <w:rPr>
          <w:rFonts w:ascii="宋体" w:hAnsi="宋体"/>
          <w:szCs w:val="21"/>
        </w:rPr>
        <w:t>基金份额发售公告》</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法律法规：指中国现行有效并公布实施的法律、行政法规、规范性文件、司法解释、行政规章以及其他对基金合同当事人有约束力的决定、决议、通知等</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《基金法》：指</w:t>
      </w:r>
      <w:r>
        <w:rPr>
          <w:rFonts w:ascii="宋体" w:hAnsi="宋体" w:hint="eastAsia"/>
          <w:szCs w:val="21"/>
        </w:rPr>
        <w:t>2003年10月28日经第十届全国人民代表大会常务委员会第五次会议通过，经</w:t>
      </w:r>
      <w:r>
        <w:rPr>
          <w:rFonts w:ascii="宋体" w:hAnsi="宋体"/>
          <w:szCs w:val="21"/>
        </w:rPr>
        <w:t>2012年12月28日第十一届全国人民代表大会常务委员会第三十次会议修订</w:t>
      </w:r>
      <w:r>
        <w:rPr>
          <w:rFonts w:ascii="宋体" w:hAnsi="宋体" w:hint="eastAsia"/>
          <w:szCs w:val="21"/>
        </w:rPr>
        <w:t>，自2013年6月1日起实施，并经2015年4月24日第十二届全国人民代表大会常务委员会第十四次会议《全国人民代表大会常务委员会关于修改&lt;中华人民共和国港口法&gt;等七部法律的决定》修正</w:t>
      </w:r>
      <w:r>
        <w:rPr>
          <w:rFonts w:ascii="宋体" w:hAnsi="宋体"/>
          <w:szCs w:val="21"/>
        </w:rPr>
        <w:t>的《中华人民共和国证券投资基金法》及颁布机关对其不时做出的修订</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《销售办法》：</w:t>
      </w:r>
      <w:bookmarkStart w:id="25" w:name="_Hlk54858307"/>
      <w:r>
        <w:rPr>
          <w:rFonts w:ascii="宋体" w:hAnsi="宋体"/>
          <w:szCs w:val="21"/>
        </w:rPr>
        <w:t>指中国证监会20</w:t>
      </w:r>
      <w:r>
        <w:rPr>
          <w:rFonts w:ascii="宋体" w:hAnsi="宋体" w:hint="eastAsia"/>
          <w:szCs w:val="21"/>
        </w:rPr>
        <w:t>20</w:t>
      </w:r>
      <w:r>
        <w:rPr>
          <w:rFonts w:ascii="宋体" w:hAnsi="宋体"/>
          <w:szCs w:val="21"/>
        </w:rPr>
        <w:t>年</w:t>
      </w:r>
      <w:r>
        <w:rPr>
          <w:rFonts w:ascii="宋体" w:hAnsi="宋体" w:hint="eastAsia"/>
          <w:szCs w:val="21"/>
        </w:rPr>
        <w:t>8</w:t>
      </w:r>
      <w:r>
        <w:rPr>
          <w:rFonts w:ascii="宋体" w:hAnsi="宋体"/>
          <w:szCs w:val="21"/>
        </w:rPr>
        <w:t>月</w:t>
      </w:r>
      <w:r>
        <w:rPr>
          <w:rFonts w:ascii="宋体" w:hAnsi="宋体" w:hint="eastAsia"/>
          <w:szCs w:val="21"/>
        </w:rPr>
        <w:t>28</w:t>
      </w:r>
      <w:r>
        <w:rPr>
          <w:rFonts w:ascii="宋体" w:hAnsi="宋体"/>
          <w:szCs w:val="21"/>
        </w:rPr>
        <w:t>日颁布、同年</w:t>
      </w:r>
      <w:r>
        <w:rPr>
          <w:rFonts w:ascii="宋体" w:hAnsi="宋体" w:hint="eastAsia"/>
          <w:szCs w:val="21"/>
        </w:rPr>
        <w:t>10</w:t>
      </w:r>
      <w:r>
        <w:rPr>
          <w:rFonts w:ascii="宋体" w:hAnsi="宋体"/>
          <w:szCs w:val="21"/>
        </w:rPr>
        <w:t>月1日实施的《</w:t>
      </w:r>
      <w:r>
        <w:rPr>
          <w:rFonts w:ascii="宋体" w:hAnsi="宋体" w:hint="eastAsia"/>
          <w:szCs w:val="21"/>
        </w:rPr>
        <w:t>公开募集证券投资基金销售机构监督管理办法</w:t>
      </w:r>
      <w:r>
        <w:rPr>
          <w:rFonts w:ascii="宋体" w:hAnsi="宋体"/>
          <w:szCs w:val="21"/>
        </w:rPr>
        <w:t>》及颁布机关对其不时做出的</w:t>
      </w:r>
      <w:bookmarkEnd w:id="25"/>
      <w:r>
        <w:rPr>
          <w:rFonts w:ascii="宋体" w:hAnsi="宋体"/>
          <w:szCs w:val="21"/>
        </w:rPr>
        <w:t>修订</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《信息披露办法》：指中国证监会2019年7月26日颁布、同年9月1日实施的</w:t>
      </w:r>
      <w:r>
        <w:rPr>
          <w:rFonts w:ascii="宋体" w:hAnsi="宋体" w:hint="eastAsia"/>
          <w:szCs w:val="21"/>
        </w:rPr>
        <w:t>，并经2020年3月20日中国证监会《关于修改部分证券期货规章的决定》修正的</w:t>
      </w:r>
      <w:r>
        <w:rPr>
          <w:rFonts w:ascii="宋体" w:hAnsi="宋体"/>
          <w:szCs w:val="21"/>
        </w:rPr>
        <w:t>《</w:t>
      </w:r>
      <w:r>
        <w:rPr>
          <w:rFonts w:ascii="宋体" w:hAnsi="宋体" w:hint="eastAsia"/>
          <w:szCs w:val="21"/>
        </w:rPr>
        <w:t>公开募集</w:t>
      </w:r>
      <w:r>
        <w:rPr>
          <w:rFonts w:ascii="宋体" w:hAnsi="宋体"/>
          <w:szCs w:val="21"/>
        </w:rPr>
        <w:t>证券投资基金信息披露管理办法》及颁布机关对其不时做出的修订</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《运作办法》：指中国证监会20</w:t>
      </w:r>
      <w:r>
        <w:rPr>
          <w:rFonts w:ascii="宋体" w:hAnsi="宋体" w:hint="eastAsia"/>
          <w:szCs w:val="21"/>
        </w:rPr>
        <w:t>1</w:t>
      </w:r>
      <w:r>
        <w:rPr>
          <w:rFonts w:ascii="宋体" w:hAnsi="宋体"/>
          <w:szCs w:val="21"/>
        </w:rPr>
        <w:t>4年</w:t>
      </w:r>
      <w:r>
        <w:rPr>
          <w:rFonts w:ascii="宋体" w:hAnsi="宋体" w:hint="eastAsia"/>
          <w:szCs w:val="21"/>
        </w:rPr>
        <w:t>7</w:t>
      </w:r>
      <w:r>
        <w:rPr>
          <w:rFonts w:ascii="宋体" w:hAnsi="宋体"/>
          <w:szCs w:val="21"/>
        </w:rPr>
        <w:t>月</w:t>
      </w:r>
      <w:r>
        <w:rPr>
          <w:rFonts w:ascii="宋体" w:hAnsi="宋体" w:hint="eastAsia"/>
          <w:szCs w:val="21"/>
        </w:rPr>
        <w:t>7</w:t>
      </w:r>
      <w:r>
        <w:rPr>
          <w:rFonts w:ascii="宋体" w:hAnsi="宋体"/>
          <w:szCs w:val="21"/>
        </w:rPr>
        <w:t>日颁布、同年</w:t>
      </w:r>
      <w:r>
        <w:rPr>
          <w:rFonts w:ascii="宋体" w:hAnsi="宋体" w:hint="eastAsia"/>
          <w:szCs w:val="21"/>
        </w:rPr>
        <w:t>8</w:t>
      </w:r>
      <w:r>
        <w:rPr>
          <w:rFonts w:ascii="宋体" w:hAnsi="宋体"/>
          <w:szCs w:val="21"/>
        </w:rPr>
        <w:t>月</w:t>
      </w:r>
      <w:r>
        <w:rPr>
          <w:rFonts w:ascii="宋体" w:hAnsi="宋体" w:hint="eastAsia"/>
          <w:szCs w:val="21"/>
        </w:rPr>
        <w:t>8</w:t>
      </w:r>
      <w:r>
        <w:rPr>
          <w:rFonts w:ascii="宋体" w:hAnsi="宋体"/>
          <w:szCs w:val="21"/>
        </w:rPr>
        <w:t>日实施的《</w:t>
      </w:r>
      <w:r>
        <w:rPr>
          <w:rFonts w:ascii="宋体" w:hAnsi="宋体" w:hint="eastAsia"/>
          <w:szCs w:val="21"/>
        </w:rPr>
        <w:t>公开募集</w:t>
      </w:r>
      <w:r>
        <w:rPr>
          <w:rFonts w:ascii="宋体" w:hAnsi="宋体"/>
          <w:szCs w:val="21"/>
        </w:rPr>
        <w:t>证券投资基金运作管理办法》及颁布机关对其不时做出的修订</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w:t>
      </w:r>
      <w:r>
        <w:rPr>
          <w:rFonts w:ascii="宋体" w:hAnsi="宋体"/>
          <w:szCs w:val="21"/>
        </w:rPr>
        <w:t>流动性风险管理规定》</w:t>
      </w:r>
      <w:r>
        <w:rPr>
          <w:rFonts w:ascii="宋体" w:hAnsi="宋体" w:hint="eastAsia"/>
          <w:szCs w:val="21"/>
        </w:rPr>
        <w:t>：</w:t>
      </w:r>
      <w:r>
        <w:rPr>
          <w:rFonts w:ascii="宋体" w:hAnsi="宋体"/>
          <w:szCs w:val="21"/>
        </w:rPr>
        <w:t>指中国证监会</w:t>
      </w:r>
      <w:r>
        <w:rPr>
          <w:rFonts w:ascii="宋体" w:hAnsi="宋体" w:hint="eastAsia"/>
          <w:szCs w:val="21"/>
        </w:rPr>
        <w:t>2017</w:t>
      </w:r>
      <w:r>
        <w:rPr>
          <w:rFonts w:ascii="宋体" w:hAnsi="宋体"/>
          <w:szCs w:val="21"/>
        </w:rPr>
        <w:t>年</w:t>
      </w:r>
      <w:r>
        <w:rPr>
          <w:rFonts w:ascii="宋体" w:hAnsi="宋体" w:hint="eastAsia"/>
          <w:szCs w:val="21"/>
        </w:rPr>
        <w:t>8</w:t>
      </w:r>
      <w:r>
        <w:rPr>
          <w:rFonts w:ascii="宋体" w:hAnsi="宋体"/>
          <w:szCs w:val="21"/>
        </w:rPr>
        <w:t>月</w:t>
      </w:r>
      <w:r>
        <w:rPr>
          <w:rFonts w:ascii="宋体" w:hAnsi="宋体" w:hint="eastAsia"/>
          <w:szCs w:val="21"/>
        </w:rPr>
        <w:t>31</w:t>
      </w:r>
      <w:r>
        <w:rPr>
          <w:rFonts w:ascii="宋体" w:hAnsi="宋体"/>
          <w:szCs w:val="21"/>
        </w:rPr>
        <w:t>日颁布、同年</w:t>
      </w:r>
      <w:r>
        <w:rPr>
          <w:rFonts w:ascii="宋体" w:hAnsi="宋体" w:hint="eastAsia"/>
          <w:szCs w:val="21"/>
        </w:rPr>
        <w:t>10</w:t>
      </w:r>
      <w:r>
        <w:rPr>
          <w:rFonts w:ascii="宋体" w:hAnsi="宋体"/>
          <w:szCs w:val="21"/>
        </w:rPr>
        <w:t>月</w:t>
      </w:r>
      <w:r>
        <w:rPr>
          <w:rFonts w:ascii="宋体" w:hAnsi="宋体" w:hint="eastAsia"/>
          <w:szCs w:val="21"/>
        </w:rPr>
        <w:t>1</w:t>
      </w:r>
      <w:r>
        <w:rPr>
          <w:rFonts w:ascii="宋体" w:hAnsi="宋体"/>
          <w:szCs w:val="21"/>
        </w:rPr>
        <w:t>日实施的《公开募集开放式证券投资基金流动性风险管理规定》及颁布机关对其不时做出的修</w:t>
      </w:r>
      <w:r>
        <w:rPr>
          <w:rFonts w:ascii="宋体" w:hAnsi="宋体"/>
          <w:szCs w:val="21"/>
        </w:rPr>
        <w:lastRenderedPageBreak/>
        <w:t>订</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中国证监会：指中国证券监督管理委员会</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银行业监督管理机构：指中国人民银行和/或中国银行</w:t>
      </w:r>
      <w:r>
        <w:rPr>
          <w:rFonts w:ascii="宋体" w:hAnsi="宋体" w:hint="eastAsia"/>
          <w:szCs w:val="21"/>
        </w:rPr>
        <w:t>保险</w:t>
      </w:r>
      <w:r>
        <w:rPr>
          <w:rFonts w:ascii="宋体" w:hAnsi="宋体"/>
          <w:szCs w:val="21"/>
        </w:rPr>
        <w:t>监督管理委员会</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基金合同当事人：指受基金合同约束，根据基金合同享有权利并承担义务的法律主体，包括基金管理人、基金托管人和基金份额持有人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个人投资者：指依据有关法律法规规定可投资于证券投资基金的自然人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机构投资者：指依法可以投资证券投资基金的、在中华人民共和国境内合法登记并存续或经有关政府部门批准设立并存续的企业法人、事业法人、社会团体或其他组织</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合格境外机构投资者：指符合《合格境外机构投资者境内证券投资管理办法》及相关法律法规规定可以投资于在中国境内依法募集的证券投资基金的中国境外的机构投资者</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人民币合格境外机构投资者：指按照《人民币合格境外机构投资者境内证券投资试点办法》及相关法律法规规定，运用来自境外的人民币资金进行境内证券投资的境外法人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投资人</w:t>
      </w:r>
      <w:r>
        <w:rPr>
          <w:rFonts w:ascii="宋体" w:hAnsi="宋体" w:hint="eastAsia"/>
          <w:szCs w:val="21"/>
        </w:rPr>
        <w:t>、投资者</w:t>
      </w:r>
      <w:r>
        <w:rPr>
          <w:rFonts w:ascii="宋体" w:hAnsi="宋体"/>
          <w:szCs w:val="21"/>
        </w:rPr>
        <w:t>：指个人投资者、机构投资者</w:t>
      </w:r>
      <w:r>
        <w:rPr>
          <w:rFonts w:ascii="宋体" w:hAnsi="宋体" w:hint="eastAsia"/>
          <w:szCs w:val="21"/>
        </w:rPr>
        <w:t>、</w:t>
      </w:r>
      <w:r>
        <w:rPr>
          <w:rFonts w:ascii="宋体" w:hAnsi="宋体"/>
          <w:szCs w:val="21"/>
        </w:rPr>
        <w:t>合格境外机构投资者</w:t>
      </w:r>
      <w:r>
        <w:rPr>
          <w:rFonts w:ascii="宋体" w:hAnsi="宋体" w:hint="eastAsia"/>
          <w:szCs w:val="21"/>
        </w:rPr>
        <w:t>和人民币合格境外机构投资者</w:t>
      </w:r>
      <w:r>
        <w:rPr>
          <w:rFonts w:ascii="宋体" w:hAnsi="宋体"/>
          <w:szCs w:val="21"/>
        </w:rPr>
        <w:t>以及法律法规或中国证监会允许购买证券投资基金的其他投资人的合称</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基金份额持有人：指依基金合同和招募说明书合法取得基金份额的投资人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基金销售业务：指基金管理人或销售机构宣传推介基金，发售基金份额，办理基金份额的申购、赎回、转换、转托管及</w:t>
      </w:r>
      <w:r>
        <w:rPr>
          <w:rFonts w:ascii="宋体" w:hAnsi="宋体" w:hint="eastAsia"/>
          <w:szCs w:val="21"/>
        </w:rPr>
        <w:t>定期定额投资</w:t>
      </w:r>
      <w:r>
        <w:rPr>
          <w:rFonts w:ascii="宋体" w:hAnsi="宋体"/>
          <w:szCs w:val="21"/>
        </w:rPr>
        <w:t>等业务</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销售机构：指</w:t>
      </w:r>
      <w:r>
        <w:rPr>
          <w:rFonts w:ascii="宋体" w:hAnsi="宋体" w:hint="eastAsia"/>
          <w:szCs w:val="21"/>
        </w:rPr>
        <w:t>东海基金管理有限责任公司</w:t>
      </w:r>
      <w:r>
        <w:rPr>
          <w:rFonts w:ascii="宋体" w:hAnsi="宋体"/>
          <w:szCs w:val="21"/>
        </w:rPr>
        <w:t>以及符合《销售办法》和中国证监会规定的其他条件，取得基金</w:t>
      </w:r>
      <w:r>
        <w:rPr>
          <w:rFonts w:ascii="宋体" w:hAnsi="宋体" w:hint="eastAsia"/>
          <w:szCs w:val="21"/>
        </w:rPr>
        <w:t>销售</w:t>
      </w:r>
      <w:r>
        <w:rPr>
          <w:rFonts w:ascii="宋体" w:hAnsi="宋体"/>
          <w:szCs w:val="21"/>
        </w:rPr>
        <w:t>业务资格并与基金管理人签订了基金销售服务协议，办理基金销售业务的机构</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登记业务：指基金登记、存管、过户、清算和结算业务，具体内容包括投资人基金账户的建立和管理、基金份额登记、基金销售业务的确认、清算和结算、代理发放红利、建立并保管基金份额持有人名册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szCs w:val="21"/>
        </w:rPr>
        <w:t>和办理非交易过户</w:t>
      </w:r>
      <w:r>
        <w:rPr>
          <w:rFonts w:ascii="宋体" w:hAnsi="宋体"/>
          <w:szCs w:val="21"/>
        </w:rPr>
        <w:t>等</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登记机构：指办理登记业务的机构。基金的登记机构为</w:t>
      </w:r>
      <w:r>
        <w:rPr>
          <w:rFonts w:ascii="宋体" w:hAnsi="宋体" w:hint="eastAsia"/>
          <w:szCs w:val="21"/>
        </w:rPr>
        <w:t>东海基金管理有限责任公司</w:t>
      </w:r>
      <w:r>
        <w:rPr>
          <w:rFonts w:ascii="宋体" w:hAnsi="宋体"/>
          <w:szCs w:val="21"/>
        </w:rPr>
        <w:t>或接受</w:t>
      </w:r>
      <w:r>
        <w:rPr>
          <w:rFonts w:ascii="宋体" w:hAnsi="宋体" w:hint="eastAsia"/>
          <w:szCs w:val="21"/>
        </w:rPr>
        <w:t>东海基金管理有限责任公司</w:t>
      </w:r>
      <w:r>
        <w:rPr>
          <w:rFonts w:ascii="宋体" w:hAnsi="宋体"/>
          <w:szCs w:val="21"/>
        </w:rPr>
        <w:t>委托代为办理登记业务的机构</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基金账户：指登记机构为投资人开立的、记录其持有的、基金管理人所管理的基金份额余额及其变动情况的账户</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基金交易账户：指销售机构为投资人开立的、记录投资人通过该销售机构</w:t>
      </w:r>
      <w:r>
        <w:rPr>
          <w:rFonts w:ascii="宋体" w:hAnsi="宋体" w:hint="eastAsia"/>
          <w:szCs w:val="21"/>
        </w:rPr>
        <w:t>办理认购、申购、赎回、转换、非交易过户、转托管及定期定额投资等业务而引起</w:t>
      </w:r>
      <w:r>
        <w:rPr>
          <w:rFonts w:ascii="宋体" w:hAnsi="宋体"/>
          <w:szCs w:val="21"/>
        </w:rPr>
        <w:t>的基金份额变动及结余情况的账户</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基金合同生效日：指基金募集达到法律法规规定及基金合同规定的条件，基金管理人向中国证监会办理基金备案手续完毕，并获得中国证监会书面确认的日期</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基金合同终止日：指基金合同规定的基金合同终止事由出现后，基金财产清算完毕，清算结果报中国证监会备案并予以公告的日期</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lastRenderedPageBreak/>
        <w:t>基金募集期：指自基金份额发售之日起至发售结束之日止的期间，最长不得超过3个月</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存续期：指基金合同生效至终止之间的不定期期限</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工作日：指上海证券交易所、深圳证券交易所的正常交易日</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T日：指销售机构在规定时间受理投资人申购、赎回或其他业务申请的开放日</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T+n日：指自T日起第n个工作日(不包含T日)</w:t>
      </w:r>
      <w:r>
        <w:rPr>
          <w:rFonts w:ascii="宋体" w:hAnsi="宋体" w:hint="eastAsia"/>
          <w:szCs w:val="21"/>
        </w:rPr>
        <w:t xml:space="preserve"> </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开放日：指</w:t>
      </w:r>
      <w:r>
        <w:rPr>
          <w:rFonts w:ascii="宋体" w:hAnsi="宋体" w:hint="eastAsia"/>
          <w:szCs w:val="21"/>
        </w:rPr>
        <w:t>开放期内</w:t>
      </w:r>
      <w:r>
        <w:rPr>
          <w:rFonts w:ascii="宋体" w:hAnsi="宋体"/>
          <w:szCs w:val="21"/>
        </w:rPr>
        <w:t>为投资人办理基金份额申购、赎回或其他业务的工作日</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开放时间：指开放日基金接受申购、赎回或其他</w:t>
      </w:r>
      <w:r>
        <w:rPr>
          <w:rFonts w:ascii="宋体" w:hAnsi="宋体" w:hint="eastAsia"/>
          <w:szCs w:val="21"/>
        </w:rPr>
        <w:t>业务</w:t>
      </w:r>
      <w:r>
        <w:rPr>
          <w:rFonts w:ascii="宋体" w:hAnsi="宋体"/>
          <w:szCs w:val="21"/>
        </w:rPr>
        <w:t>的时间段</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《业务规则》：指《</w:t>
      </w:r>
      <w:r>
        <w:rPr>
          <w:rFonts w:ascii="宋体" w:hAnsi="宋体" w:hint="eastAsia"/>
          <w:szCs w:val="21"/>
        </w:rPr>
        <w:t>东海基金管理有限责任公司</w:t>
      </w:r>
      <w:r>
        <w:rPr>
          <w:rFonts w:ascii="宋体" w:hAnsi="宋体"/>
          <w:szCs w:val="21"/>
        </w:rPr>
        <w:t>开放式基金业务规则》，是规范基金管理人所管理的开放式证券投资基金登记方面的业务规则，由基金管理人和投资人共同遵守</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认购：指在基金募集期内，投资人根据基金合同和招募说明书的规定申请购买基金份额的行为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申购：指基金合同生效后</w:t>
      </w:r>
      <w:r>
        <w:rPr>
          <w:rFonts w:ascii="宋体" w:hAnsi="宋体" w:hint="eastAsia"/>
          <w:szCs w:val="21"/>
        </w:rPr>
        <w:t>的开放期内</w:t>
      </w:r>
      <w:r>
        <w:rPr>
          <w:rFonts w:ascii="宋体" w:hAnsi="宋体"/>
          <w:szCs w:val="21"/>
        </w:rPr>
        <w:t>，投资人根据基金合同和招募说明书的规定申请购买基金份额的行为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赎回：指基金合同生效后</w:t>
      </w:r>
      <w:r>
        <w:rPr>
          <w:rFonts w:ascii="宋体" w:hAnsi="宋体" w:hint="eastAsia"/>
          <w:szCs w:val="21"/>
        </w:rPr>
        <w:t>的开放期内</w:t>
      </w:r>
      <w:r>
        <w:rPr>
          <w:rFonts w:ascii="宋体" w:hAnsi="宋体"/>
          <w:szCs w:val="21"/>
        </w:rPr>
        <w:t>，基金份额持有人按基金合同</w:t>
      </w:r>
      <w:r>
        <w:rPr>
          <w:rFonts w:ascii="宋体" w:hAnsi="宋体" w:hint="eastAsia"/>
          <w:szCs w:val="21"/>
        </w:rPr>
        <w:t>和招募说明书</w:t>
      </w:r>
      <w:r>
        <w:rPr>
          <w:rFonts w:ascii="宋体" w:hAnsi="宋体"/>
          <w:szCs w:val="21"/>
        </w:rPr>
        <w:t>规定的条件要求将基金份额兑换为现金的行为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基金转换：指基金份额持有人</w:t>
      </w:r>
      <w:r>
        <w:rPr>
          <w:rFonts w:ascii="宋体" w:hAnsi="宋体" w:hint="eastAsia"/>
          <w:szCs w:val="21"/>
        </w:rPr>
        <w:t>在开放期内</w:t>
      </w:r>
      <w:r>
        <w:rPr>
          <w:rFonts w:ascii="宋体" w:hAnsi="宋体"/>
          <w:szCs w:val="21"/>
        </w:rPr>
        <w:t>按照基金合同和基金管理人届时有效公告规定的条件，申请将其持有基金管理人管理的、某一基金的基金份额转换为基金管理人管理</w:t>
      </w:r>
      <w:r>
        <w:rPr>
          <w:rFonts w:ascii="宋体" w:hAnsi="宋体" w:hint="eastAsia"/>
          <w:szCs w:val="21"/>
        </w:rPr>
        <w:t>且开通转换</w:t>
      </w:r>
      <w:r>
        <w:rPr>
          <w:rFonts w:ascii="宋体" w:hAnsi="宋体"/>
          <w:szCs w:val="21"/>
        </w:rPr>
        <w:t>的其他基金</w:t>
      </w:r>
      <w:r>
        <w:rPr>
          <w:rFonts w:ascii="宋体" w:hAnsi="宋体" w:hint="eastAsia"/>
          <w:szCs w:val="21"/>
        </w:rPr>
        <w:t>基金</w:t>
      </w:r>
      <w:r>
        <w:rPr>
          <w:rFonts w:ascii="宋体" w:hAnsi="宋体"/>
          <w:szCs w:val="21"/>
        </w:rPr>
        <w:t>份额的行为</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转托管：指基金份额持有人在本基金的不同销售机构之间实施的变更所持基金份额销售机构的操作</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定期定额投资</w:t>
      </w:r>
      <w:r>
        <w:rPr>
          <w:rFonts w:ascii="宋体" w:hAnsi="宋体"/>
          <w:szCs w:val="21"/>
        </w:rPr>
        <w:t>计划：指投资人通过有关销售机构提出申请，约定每期</w:t>
      </w:r>
      <w:r>
        <w:rPr>
          <w:rFonts w:ascii="宋体" w:hAnsi="宋体" w:hint="eastAsia"/>
          <w:szCs w:val="21"/>
        </w:rPr>
        <w:t>申购</w:t>
      </w:r>
      <w:r>
        <w:rPr>
          <w:rFonts w:ascii="宋体" w:hAnsi="宋体"/>
          <w:szCs w:val="21"/>
        </w:rPr>
        <w:t>日、</w:t>
      </w:r>
      <w:r>
        <w:rPr>
          <w:rFonts w:ascii="宋体" w:hAnsi="宋体" w:hint="eastAsia"/>
          <w:szCs w:val="21"/>
        </w:rPr>
        <w:t>扣款</w:t>
      </w:r>
      <w:r>
        <w:rPr>
          <w:rFonts w:ascii="宋体" w:hAnsi="宋体"/>
          <w:szCs w:val="21"/>
        </w:rPr>
        <w:t>金额及扣款方式，由销售机构于每期约定</w:t>
      </w:r>
      <w:r>
        <w:rPr>
          <w:rFonts w:ascii="宋体" w:hAnsi="宋体" w:hint="eastAsia"/>
          <w:szCs w:val="21"/>
        </w:rPr>
        <w:t>扣款</w:t>
      </w:r>
      <w:r>
        <w:rPr>
          <w:rFonts w:ascii="宋体" w:hAnsi="宋体"/>
          <w:szCs w:val="21"/>
        </w:rPr>
        <w:t>日在投资人指定银行账户内自动完成扣款及</w:t>
      </w:r>
      <w:r>
        <w:rPr>
          <w:rFonts w:ascii="宋体" w:hAnsi="宋体" w:hint="eastAsia"/>
          <w:szCs w:val="21"/>
        </w:rPr>
        <w:t>受理</w:t>
      </w:r>
      <w:r>
        <w:rPr>
          <w:rFonts w:ascii="宋体" w:hAnsi="宋体"/>
          <w:szCs w:val="21"/>
        </w:rPr>
        <w:t>基金申购申请的一种投资方式</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巨额赎回：指本基金</w:t>
      </w:r>
      <w:r>
        <w:rPr>
          <w:rFonts w:ascii="宋体" w:hAnsi="宋体" w:hint="eastAsia"/>
          <w:szCs w:val="21"/>
        </w:rPr>
        <w:t>开放期内</w:t>
      </w:r>
      <w:r>
        <w:rPr>
          <w:rFonts w:ascii="宋体" w:hAnsi="宋体"/>
          <w:szCs w:val="21"/>
        </w:rPr>
        <w:t>单个开放日，基金净赎回申请(赎回申请份额总数加上基金转换中转出申请份额总数后扣除申购申请份额总数及基金转换中转入申请份额总数后的余额)超过上一</w:t>
      </w:r>
      <w:r>
        <w:rPr>
          <w:rFonts w:ascii="宋体" w:hAnsi="宋体" w:hint="eastAsia"/>
          <w:szCs w:val="21"/>
        </w:rPr>
        <w:t>工作</w:t>
      </w:r>
      <w:r>
        <w:rPr>
          <w:rFonts w:ascii="宋体" w:hAnsi="宋体"/>
          <w:szCs w:val="21"/>
        </w:rPr>
        <w:t>日基金总份额的2</w:t>
      </w:r>
      <w:r>
        <w:rPr>
          <w:rFonts w:ascii="宋体" w:hAnsi="宋体" w:hint="eastAsia"/>
          <w:szCs w:val="21"/>
        </w:rPr>
        <w:t>0%</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元：指人民币元</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基金收益：指基金投资所得债券利息、买卖证券价差、银行存款利息、已实现的其他合法收入及因运用基金财产带来的成本和费用的节约</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基金资产总值：指基金拥有的各类有价证券、银行存款本息、基金应收款</w:t>
      </w:r>
      <w:r>
        <w:rPr>
          <w:rFonts w:ascii="宋体" w:hAnsi="宋体" w:hint="eastAsia"/>
          <w:szCs w:val="21"/>
        </w:rPr>
        <w:t>项</w:t>
      </w:r>
      <w:r>
        <w:rPr>
          <w:rFonts w:ascii="宋体" w:hAnsi="宋体"/>
          <w:szCs w:val="21"/>
        </w:rPr>
        <w:t>及其他资产的价值总和</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基金资产净值：指基金资产总值减去基金负债后的价值</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lastRenderedPageBreak/>
        <w:t>基金份额净值：指计算日基金资产净值除以计算日基金份额总数</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基金资产估值：指计算评估基金资产和负债的价值，以确定基金资产净值和基金份额净值的过程</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szCs w:val="21"/>
        </w:rPr>
        <w:t>规定媒介：指</w:t>
      </w:r>
      <w:r>
        <w:rPr>
          <w:rFonts w:ascii="宋体" w:hAnsi="宋体" w:hint="eastAsia"/>
          <w:szCs w:val="21"/>
        </w:rPr>
        <w:t>符合</w:t>
      </w:r>
      <w:r>
        <w:rPr>
          <w:rFonts w:ascii="宋体" w:hAnsi="宋体"/>
          <w:szCs w:val="21"/>
        </w:rPr>
        <w:t>中国证监会</w:t>
      </w:r>
      <w:r>
        <w:rPr>
          <w:rFonts w:ascii="宋体" w:hAnsi="宋体" w:hint="eastAsia"/>
          <w:szCs w:val="21"/>
        </w:rPr>
        <w:t>规定条件</w:t>
      </w:r>
      <w:r>
        <w:rPr>
          <w:rFonts w:ascii="宋体" w:hAnsi="宋体"/>
          <w:szCs w:val="21"/>
        </w:rPr>
        <w:t>的用以进行信息披露的</w:t>
      </w:r>
      <w:r>
        <w:rPr>
          <w:rFonts w:ascii="宋体" w:hAnsi="宋体" w:hint="eastAsia"/>
          <w:szCs w:val="21"/>
        </w:rPr>
        <w:t>全国性报刊及《信息披露办法》规定的互联网网站（包括基金管理人网站、基金托管人网站、中国证监会基金电子披露网站）等</w:t>
      </w:r>
      <w:r>
        <w:rPr>
          <w:rFonts w:ascii="宋体" w:hAnsi="宋体"/>
          <w:szCs w:val="21"/>
        </w:rPr>
        <w:t>媒介</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封闭期：本基金以</w:t>
      </w:r>
      <w:r>
        <w:rPr>
          <w:rFonts w:ascii="宋体" w:hAnsi="宋体"/>
          <w:szCs w:val="21"/>
        </w:rPr>
        <w:t>66</w:t>
      </w:r>
      <w:r>
        <w:rPr>
          <w:rFonts w:ascii="宋体" w:hAnsi="宋体" w:hint="eastAsia"/>
          <w:szCs w:val="21"/>
        </w:rPr>
        <w:t>个月</w:t>
      </w:r>
      <w:r>
        <w:rPr>
          <w:rFonts w:ascii="宋体" w:hAnsi="宋体"/>
          <w:szCs w:val="21"/>
        </w:rPr>
        <w:t>为一个封闭期</w:t>
      </w:r>
      <w:r>
        <w:rPr>
          <w:rFonts w:ascii="宋体" w:hAnsi="宋体" w:hint="eastAsia"/>
          <w:szCs w:val="21"/>
        </w:rPr>
        <w:t>。本基金的封闭期为自《基金合同》生效之日起（包括该日）或自每一开放期结束之日次日起（包括该日）至该封闭期首日的</w:t>
      </w:r>
      <w:r>
        <w:rPr>
          <w:rFonts w:ascii="宋体" w:hAnsi="宋体"/>
          <w:szCs w:val="21"/>
        </w:rPr>
        <w:t>66</w:t>
      </w:r>
      <w:r>
        <w:rPr>
          <w:rFonts w:ascii="宋体" w:hAnsi="宋体" w:hint="eastAsia"/>
          <w:szCs w:val="21"/>
        </w:rPr>
        <w:t>个月对日的前一日止。本基金的首个封闭期为自《基金合同》生效之日起（包括该日）至《基金合同》生效日的</w:t>
      </w:r>
      <w:r>
        <w:rPr>
          <w:rFonts w:ascii="宋体" w:hAnsi="宋体"/>
          <w:szCs w:val="21"/>
        </w:rPr>
        <w:t>66</w:t>
      </w:r>
      <w:r>
        <w:rPr>
          <w:rFonts w:ascii="宋体" w:hAnsi="宋体" w:hint="eastAsia"/>
          <w:szCs w:val="21"/>
        </w:rPr>
        <w:t>个月对日的前一日（含）止。第二个封闭期为首个开放期结束之日次日起（包括该日）至6</w:t>
      </w:r>
      <w:r>
        <w:rPr>
          <w:rFonts w:ascii="宋体" w:hAnsi="宋体"/>
          <w:szCs w:val="21"/>
        </w:rPr>
        <w:t>6</w:t>
      </w:r>
      <w:r>
        <w:rPr>
          <w:rFonts w:ascii="宋体" w:hAnsi="宋体" w:hint="eastAsia"/>
          <w:szCs w:val="21"/>
        </w:rPr>
        <w:t>个月对日的前一日止。以此类推。本基金封闭期内不办理申购与赎回业务，也不上市交易</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开放期：指本基金自每个封闭期结束之后第一个工作日（含）起可以办理申购、赎回或其他业务的期间。本基金每个开放期最长不超过20个工作日，最短不少于</w:t>
      </w:r>
      <w:r>
        <w:rPr>
          <w:rFonts w:ascii="宋体" w:hAnsi="宋体"/>
          <w:szCs w:val="21"/>
        </w:rPr>
        <w:t>5</w:t>
      </w:r>
      <w:r>
        <w:rPr>
          <w:rFonts w:ascii="宋体" w:hAnsi="宋体" w:hint="eastAsia"/>
          <w:szCs w:val="21"/>
        </w:rPr>
        <w:t>个工作日，开放期的具体时间由基金管理人在开放期前依照《信息披露办法》的有关规定在规定媒介予以公告。如每个封闭期结束后或在开放期内发生不可抗力或其他情形致使基金无法按时开放申购或赎回业务，或依据基金合同需暂停申购或赎回业务的，开放期时间相应顺延，直至满足开放期的时间要求，具体时间以基金管理人届时的公告为准</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对日：指某一特定日期在后续日历年度或月份中的对应日期，若该日历年度或月份中不存在对应日期的或该日为非</w:t>
      </w:r>
      <w:r>
        <w:rPr>
          <w:rFonts w:ascii="宋体" w:hAnsi="宋体"/>
          <w:szCs w:val="21"/>
        </w:rPr>
        <w:t>工作日的</w:t>
      </w:r>
      <w:r>
        <w:rPr>
          <w:rFonts w:ascii="宋体" w:hAnsi="宋体" w:hint="eastAsia"/>
          <w:szCs w:val="21"/>
        </w:rPr>
        <w:t>，则顺延至下一个工作日</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摊余成本法：指计价对象以买入成本列示，按照票面利率或协议利率并考虑其买入时的溢价与折价，在剩余存续期内按实际利率法摊销，确认利息收入并评估减值准备</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rsidR="00822B64" w:rsidRDefault="00E92BF7">
      <w:pPr>
        <w:pStyle w:val="afffb"/>
        <w:numPr>
          <w:ilvl w:val="0"/>
          <w:numId w:val="29"/>
        </w:numPr>
        <w:adjustRightInd w:val="0"/>
        <w:snapToGrid w:val="0"/>
        <w:spacing w:line="360" w:lineRule="auto"/>
        <w:ind w:left="0" w:firstLine="420"/>
        <w:rPr>
          <w:rFonts w:ascii="宋体" w:hAnsi="宋体"/>
          <w:szCs w:val="21"/>
        </w:rPr>
      </w:pPr>
      <w:r>
        <w:rPr>
          <w:rFonts w:ascii="宋体" w:hAnsi="宋体" w:hint="eastAsia"/>
          <w:szCs w:val="21"/>
        </w:rPr>
        <w:t>特定资产：包括：（一）无可参考的活跃市场价格且采用估值技术仍导致公允价值存在重大不确定性的资产；（二）按摊余成本计量且计提资产减值准备仍导致资产价值存在</w:t>
      </w:r>
      <w:r>
        <w:rPr>
          <w:rFonts w:ascii="宋体" w:hAnsi="宋体" w:hint="eastAsia"/>
          <w:szCs w:val="21"/>
        </w:rPr>
        <w:lastRenderedPageBreak/>
        <w:t>重大不确定性的资产；（三）其他资产价值存在重大不确定性的资产</w:t>
      </w:r>
    </w:p>
    <w:p w:rsidR="00822B64" w:rsidRDefault="00E92BF7">
      <w:pPr>
        <w:pStyle w:val="afffb"/>
        <w:numPr>
          <w:ilvl w:val="0"/>
          <w:numId w:val="29"/>
        </w:numPr>
        <w:autoSpaceDE w:val="0"/>
        <w:autoSpaceDN w:val="0"/>
        <w:adjustRightInd w:val="0"/>
        <w:snapToGrid w:val="0"/>
        <w:spacing w:line="360" w:lineRule="auto"/>
        <w:ind w:leftChars="200" w:left="2730" w:hangingChars="1100" w:hanging="2310"/>
        <w:rPr>
          <w:rFonts w:ascii="宋体" w:hAnsi="宋体"/>
          <w:kern w:val="0"/>
          <w:szCs w:val="23"/>
        </w:rPr>
      </w:pPr>
      <w:r>
        <w:rPr>
          <w:rFonts w:ascii="宋体" w:hAnsi="宋体"/>
          <w:szCs w:val="21"/>
        </w:rPr>
        <w:t>不可抗力：指</w:t>
      </w:r>
      <w:r>
        <w:rPr>
          <w:rFonts w:ascii="宋体" w:hAnsi="宋体" w:hint="eastAsia"/>
          <w:szCs w:val="21"/>
        </w:rPr>
        <w:t>基金</w:t>
      </w:r>
      <w:r>
        <w:rPr>
          <w:rFonts w:ascii="宋体" w:hAnsi="宋体"/>
          <w:szCs w:val="21"/>
        </w:rPr>
        <w:t>合同当事人不能预见、不能避免且不能克服的客观事件</w:t>
      </w:r>
      <w:r>
        <w:rPr>
          <w:rFonts w:ascii="宋体" w:hAnsi="宋体"/>
          <w:kern w:val="0"/>
          <w:szCs w:val="23"/>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6" w:name="_Toc360794097"/>
      <w:bookmarkStart w:id="27" w:name="_Toc360794405"/>
      <w:bookmarkStart w:id="28" w:name="_Toc362455180"/>
      <w:bookmarkStart w:id="29" w:name="_Toc360794513"/>
      <w:bookmarkStart w:id="30" w:name="_Toc362533452"/>
      <w:bookmarkStart w:id="31" w:name="_Toc360793847"/>
      <w:bookmarkStart w:id="32" w:name="_Toc48808881"/>
      <w:bookmarkStart w:id="33" w:name="_Toc360793495"/>
      <w:r>
        <w:rPr>
          <w:rFonts w:ascii="宋体" w:eastAsia="宋体" w:hAnsi="宋体" w:hint="eastAsia"/>
        </w:rPr>
        <w:lastRenderedPageBreak/>
        <w:t>基金管理人</w:t>
      </w:r>
      <w:bookmarkEnd w:id="26"/>
      <w:bookmarkEnd w:id="27"/>
      <w:bookmarkEnd w:id="28"/>
      <w:bookmarkEnd w:id="29"/>
      <w:bookmarkEnd w:id="30"/>
      <w:bookmarkEnd w:id="31"/>
      <w:bookmarkEnd w:id="32"/>
      <w:bookmarkEnd w:id="33"/>
    </w:p>
    <w:p w:rsidR="00822B64" w:rsidRDefault="00822B64">
      <w:pPr>
        <w:adjustRightInd w:val="0"/>
        <w:snapToGrid w:val="0"/>
        <w:spacing w:line="360" w:lineRule="auto"/>
        <w:rPr>
          <w:rFonts w:ascii="宋体" w:hAnsi="宋体"/>
          <w:b/>
          <w:bCs/>
        </w:rPr>
      </w:pPr>
    </w:p>
    <w:p w:rsidR="004D1858" w:rsidRDefault="00E92BF7" w:rsidP="004D1858">
      <w:pPr>
        <w:adjustRightInd w:val="0"/>
        <w:snapToGrid w:val="0"/>
        <w:spacing w:line="360" w:lineRule="auto"/>
        <w:rPr>
          <w:rFonts w:ascii="宋体" w:hAnsi="宋体"/>
          <w:b/>
          <w:bCs/>
        </w:rPr>
      </w:pPr>
      <w:r>
        <w:rPr>
          <w:rFonts w:ascii="宋体" w:hAnsi="宋体" w:hint="eastAsia"/>
          <w:b/>
          <w:bCs/>
        </w:rPr>
        <w:t xml:space="preserve">    </w:t>
      </w:r>
      <w:r w:rsidR="004D1858">
        <w:rPr>
          <w:rFonts w:ascii="宋体" w:hAnsi="宋体" w:hint="eastAsia"/>
          <w:b/>
          <w:bCs/>
        </w:rPr>
        <w:t xml:space="preserve">  一、基金管理人概况</w:t>
      </w:r>
    </w:p>
    <w:p w:rsidR="004D1858" w:rsidRDefault="004D1858" w:rsidP="004D1858">
      <w:pPr>
        <w:adjustRightInd w:val="0"/>
        <w:snapToGrid w:val="0"/>
        <w:spacing w:line="360" w:lineRule="auto"/>
        <w:ind w:firstLineChars="200" w:firstLine="420"/>
        <w:rPr>
          <w:rFonts w:ascii="宋体" w:hAnsi="宋体"/>
          <w:szCs w:val="21"/>
        </w:rPr>
      </w:pPr>
      <w:bookmarkStart w:id="34" w:name="_Toc15118235"/>
      <w:r>
        <w:rPr>
          <w:rFonts w:ascii="宋体" w:hAnsi="宋体"/>
          <w:szCs w:val="21"/>
        </w:rPr>
        <w:t>（一）基金管理人简况</w:t>
      </w:r>
      <w:bookmarkEnd w:id="34"/>
    </w:p>
    <w:p w:rsidR="004D1858" w:rsidRDefault="004D1858" w:rsidP="004D1858">
      <w:pPr>
        <w:adjustRightInd w:val="0"/>
        <w:snapToGrid w:val="0"/>
        <w:spacing w:line="360" w:lineRule="auto"/>
        <w:ind w:firstLineChars="200" w:firstLine="420"/>
        <w:rPr>
          <w:rFonts w:ascii="宋体" w:hAnsi="宋体"/>
          <w:szCs w:val="21"/>
        </w:rPr>
      </w:pPr>
      <w:r>
        <w:rPr>
          <w:rFonts w:ascii="宋体" w:hAnsi="宋体"/>
          <w:szCs w:val="21"/>
        </w:rPr>
        <w:t>名称：</w:t>
      </w:r>
      <w:r>
        <w:rPr>
          <w:rFonts w:ascii="宋体" w:hAnsi="宋体" w:hint="eastAsia"/>
          <w:szCs w:val="21"/>
        </w:rPr>
        <w:t>东海基金管理有限责任公司</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住所：上海市虹口区丰镇路806号3幢360室</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办公地址：</w:t>
      </w:r>
      <w:r>
        <w:rPr>
          <w:rStyle w:val="afff3"/>
        </w:rPr>
        <w:t>上海市浦东新区世纪大道</w:t>
      </w:r>
      <w:r>
        <w:rPr>
          <w:rStyle w:val="afff3"/>
          <w:rFonts w:hint="eastAsia"/>
        </w:rPr>
        <w:t>1528</w:t>
      </w:r>
      <w:r>
        <w:rPr>
          <w:rStyle w:val="afff3"/>
          <w:rFonts w:hint="eastAsia"/>
        </w:rPr>
        <w:t>号陆家嘴基金大厦</w:t>
      </w:r>
      <w:r>
        <w:rPr>
          <w:rStyle w:val="afff3"/>
          <w:rFonts w:hint="eastAsia"/>
        </w:rPr>
        <w:t>15</w:t>
      </w:r>
      <w:r>
        <w:rPr>
          <w:rStyle w:val="afff3"/>
          <w:rFonts w:hint="eastAsia"/>
        </w:rPr>
        <w:t>楼</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法定代表人：严晓珺</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设立日期：2013年2月25日</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批准设立机关及批准设立文号：中国证监会《关于核准设立东海基金管理有限责任公司的批复》（证监许可[2013]179号）</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组织形式：有限责任公司</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注册资本：16480.3118万元人民币</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存续期限：持续经营</w:t>
      </w:r>
    </w:p>
    <w:p w:rsidR="004D1858" w:rsidRDefault="004D1858" w:rsidP="004D1858">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联系电话：021-60586900</w:t>
      </w:r>
    </w:p>
    <w:p w:rsidR="004D1858" w:rsidRDefault="004D1858" w:rsidP="004D1858">
      <w:pPr>
        <w:snapToGrid w:val="0"/>
        <w:spacing w:line="360" w:lineRule="auto"/>
        <w:ind w:firstLineChars="200" w:firstLine="420"/>
        <w:rPr>
          <w:rFonts w:ascii="宋体" w:hAnsi="宋体"/>
          <w:bCs/>
          <w:szCs w:val="21"/>
        </w:rPr>
      </w:pPr>
      <w:r>
        <w:rPr>
          <w:rFonts w:ascii="宋体" w:hAnsi="宋体"/>
          <w:bCs/>
          <w:szCs w:val="21"/>
        </w:rPr>
        <w:t>联系人</w:t>
      </w:r>
      <w:r>
        <w:rPr>
          <w:rFonts w:ascii="宋体" w:hAnsi="宋体" w:hint="eastAsia"/>
          <w:bCs/>
          <w:szCs w:val="21"/>
        </w:rPr>
        <w:t>：刘素雅</w:t>
      </w:r>
    </w:p>
    <w:p w:rsidR="004D1858" w:rsidRDefault="004D1858" w:rsidP="004D1858">
      <w:pPr>
        <w:snapToGrid w:val="0"/>
        <w:spacing w:line="360" w:lineRule="auto"/>
        <w:ind w:firstLineChars="200" w:firstLine="420"/>
        <w:rPr>
          <w:rFonts w:ascii="宋体" w:hAnsi="宋体"/>
          <w:bCs/>
          <w:szCs w:val="21"/>
        </w:rPr>
      </w:pPr>
      <w:r>
        <w:rPr>
          <w:rFonts w:ascii="宋体" w:hAnsi="宋体"/>
          <w:bCs/>
          <w:szCs w:val="21"/>
        </w:rPr>
        <w:t>公司的股权结构</w:t>
      </w:r>
      <w:r>
        <w:rPr>
          <w:rFonts w:ascii="宋体" w:hAnsi="宋体" w:hint="eastAsia"/>
          <w:bCs/>
          <w:szCs w:val="21"/>
        </w:rPr>
        <w:t>：东海证券股份有限公司、深圳鹏博实业集团有限公司和苏州市相城区江南化纤集团有限公司出资分别占注册资本的49.94%、27.31%和22.75%的股权。</w:t>
      </w:r>
    </w:p>
    <w:p w:rsidR="004D1858" w:rsidRDefault="004D1858" w:rsidP="004D1858">
      <w:pPr>
        <w:adjustRightInd w:val="0"/>
        <w:snapToGrid w:val="0"/>
        <w:spacing w:line="360" w:lineRule="auto"/>
        <w:ind w:firstLineChars="200" w:firstLine="420"/>
        <w:rPr>
          <w:rFonts w:ascii="宋体" w:hAnsi="宋体"/>
        </w:rPr>
      </w:pPr>
    </w:p>
    <w:p w:rsidR="004D1858" w:rsidRDefault="004D1858" w:rsidP="004D1858">
      <w:pPr>
        <w:adjustRightInd w:val="0"/>
        <w:snapToGrid w:val="0"/>
        <w:spacing w:line="360" w:lineRule="auto"/>
        <w:rPr>
          <w:rFonts w:ascii="宋体" w:hAnsi="宋体"/>
          <w:b/>
          <w:bCs/>
        </w:rPr>
      </w:pPr>
      <w:r>
        <w:rPr>
          <w:rFonts w:ascii="宋体" w:hAnsi="宋体" w:hint="eastAsia"/>
          <w:b/>
          <w:bCs/>
        </w:rPr>
        <w:t xml:space="preserve">    二、主要人员情况</w:t>
      </w:r>
    </w:p>
    <w:p w:rsidR="004D1858" w:rsidRDefault="004D1858" w:rsidP="004D1858">
      <w:pPr>
        <w:snapToGrid w:val="0"/>
        <w:spacing w:line="360" w:lineRule="auto"/>
        <w:ind w:firstLineChars="200" w:firstLine="420"/>
        <w:rPr>
          <w:rFonts w:ascii="宋体" w:hAnsi="宋体"/>
          <w:bCs/>
          <w:szCs w:val="21"/>
        </w:rPr>
      </w:pPr>
      <w:bookmarkStart w:id="35" w:name="_Hlk28695619"/>
      <w:r>
        <w:rPr>
          <w:rFonts w:ascii="宋体" w:hAnsi="宋体" w:hint="eastAsia"/>
          <w:bCs/>
          <w:szCs w:val="21"/>
        </w:rPr>
        <w:t>1、董事会成员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殷建华先生，董事长。曾任航空兵飞行员、中国证监会青岛监管局上市处处长、局党委委员、局长助理、副局长；中国证监会江苏监管局党委委员、纪委书记等职；2020年1月至2020年6月任东海证券总裁；2020年6月至2022年12月任东海证券执行委员会主任（总裁）；2022年8月至今任东海基金管理有限责任公司董事长。</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严晓珺女士，董事，硕士学位。现任东海基金管理有限责任公司总经理，兼任东海瑞京资产管理（上海）有限公司董事长。曾任职于德邦证券股份有限公司，先后担任资产管理部总经理、总裁助理兼资产管理部总经理等职。2020年加入东海基金管理有限责任公司。</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杨学林先生，董事，本科学位，现任深圳鹏博实业集团有限公司董事长、总经理，历任深圳天潼微电子技术公司工程师、深圳市垅运照明电器有限公司总工程师等职。</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陶华娟女士，董事，</w:t>
      </w:r>
      <w:r>
        <w:rPr>
          <w:rFonts w:ascii="宋体" w:hAnsi="宋体"/>
          <w:bCs/>
          <w:szCs w:val="21"/>
        </w:rPr>
        <w:t xml:space="preserve"> </w:t>
      </w:r>
      <w:r>
        <w:rPr>
          <w:rFonts w:ascii="宋体" w:hAnsi="宋体" w:hint="eastAsia"/>
          <w:bCs/>
          <w:szCs w:val="21"/>
        </w:rPr>
        <w:t>2013年1月至今于苏州市相城区江南化纤集团有限公司先后任财务科长、审计中心主任、财务部部长。历任苏州市江塑编织有限公司出纳、江苏新苏化纤有限公司出纳、财务科长。</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lastRenderedPageBreak/>
        <w:t>孔国俊先生，董事，任东海证券经纪业务总部总经理。曾任上海海洋投资咨询公司投资企划部副经，上海国际医学交流中心亚康健康网络部经理，中银国际证券上海营销中心、上海广元西路营业部、上海新华路营业部客户经理、助理总经理，中信证券上海分公司营销管理部总经理、个人客户部总经理，国都证券财富管理总部副总经理等职。</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李峰FengLi先生，独立董事，博士学位，美国国籍。现任上海交通大学上海高级金融学院会计学教授、中国金融研究院副院长、上海高金金融研究院联席院长，上海宏力达信息技术股份有限公司独立董事，上海品渥食品股份有限公司独立董事，上海翱捷科技股份有限公司独立董事；曾任职于美国密歇根大学罗斯商学院，并获得终身教职。</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许闲先生，独立董事，博士学位，现任复旦大学经济学院教授、复旦大学中国保险与社会安全研究中心主任；历任复旦大学经济学院助理教授、副教授、教授等职。</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熊伟先生，独立董事，博士学位，现任武汉大学法学院教授，兼任中国法学会财税法学研究会常务副会长，湖北鼎龙控股股份有限公司独立董事，英创力电子科技有限公司独立董事；历任云南大学组织部职员，武汉大学法学院助教、讲师、副教授、教授等职。</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2、监事会成员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袁忠先生，监事会主席，硕士，现任东海证券股份有限公司董事会秘书、办公室主任，兼任战略规划部总经理。曾先后担任江苏省启东市国家税务局科员、江苏省常州市国家税务局科员、常州市政府金融工作办公室副处长、常州市地方金融监督管理局处长等职。2020年加入东海证券。</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汪兴华先生，监事，大专。现任深圳鹏博实业集团有限公司董事、副总裁，曾先后任职于核工业中南地质局、深圳融信会计师事务所、成都鹏博士科技股份有限公司等。2005年加入深圳鹏博实业集团有限公司。</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朱一民先生，职工监事，产业经济学硕士，兼任东海瑞京资产管理（上海）有限公司监事。现任东海基金管理有限责任公司总经理助理兼合规法务部总经理，曾任职于德邦证券股份有限公司。</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吴巍瑜先生，职工监事，本科学位，现任东海基金管理有限责任公司综合管理部总经理助理（主持工作）。</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3、公司高级管理人员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严晓珺女士，总经理。（简历请参见上述董事会成员介绍）</w:t>
      </w:r>
    </w:p>
    <w:p w:rsidR="007F06E9" w:rsidRDefault="007F06E9" w:rsidP="007F06E9">
      <w:pPr>
        <w:snapToGrid w:val="0"/>
        <w:spacing w:line="360" w:lineRule="auto"/>
        <w:ind w:firstLineChars="200" w:firstLine="420"/>
        <w:rPr>
          <w:rFonts w:ascii="宋体" w:hAnsi="宋体"/>
          <w:bCs/>
          <w:szCs w:val="21"/>
        </w:rPr>
      </w:pPr>
      <w:r w:rsidRPr="007F06E9">
        <w:rPr>
          <w:rFonts w:ascii="宋体" w:hAnsi="宋体" w:hint="eastAsia"/>
          <w:bCs/>
          <w:szCs w:val="21"/>
        </w:rPr>
        <w:t>牛锐女士，督察长，</w:t>
      </w:r>
      <w:r w:rsidRPr="007F06E9">
        <w:rPr>
          <w:rFonts w:ascii="宋体" w:hAnsi="宋体"/>
          <w:bCs/>
          <w:szCs w:val="21"/>
        </w:rPr>
        <w:t>兼任东海瑞京资产管理（上海）有限公司董事。</w:t>
      </w:r>
      <w:r w:rsidRPr="007F06E9">
        <w:rPr>
          <w:rFonts w:ascii="宋体" w:hAnsi="宋体" w:hint="eastAsia"/>
          <w:bCs/>
          <w:szCs w:val="21"/>
        </w:rPr>
        <w:t>市场监管法</w:t>
      </w:r>
      <w:r w:rsidRPr="007F06E9">
        <w:rPr>
          <w:rFonts w:ascii="宋体" w:hAnsi="宋体"/>
          <w:bCs/>
          <w:szCs w:val="21"/>
        </w:rPr>
        <w:t>博士研究生学历。</w:t>
      </w:r>
      <w:r w:rsidRPr="007F06E9">
        <w:rPr>
          <w:rFonts w:ascii="宋体" w:hAnsi="宋体" w:hint="eastAsia"/>
          <w:bCs/>
          <w:szCs w:val="21"/>
        </w:rPr>
        <w:t>曾任职于安徽法谏律师事务所、申银万国证券股份有限公司总裁办法律部、上海证监局、中国国际金融有限公司合规管理部，历任国泰基金管理有限公司总经理办公室总监助理、申万菱信基金管理有限公司法律合规与审计部总监、中银基金管理有限公司内控与法律合规部总经理、上海富诚海富通资产管理有限公司合规负责人。2</w:t>
      </w:r>
      <w:r w:rsidRPr="007F06E9">
        <w:rPr>
          <w:rFonts w:ascii="宋体" w:hAnsi="宋体"/>
          <w:bCs/>
          <w:szCs w:val="21"/>
        </w:rPr>
        <w:t>022</w:t>
      </w:r>
      <w:r w:rsidRPr="007F06E9">
        <w:rPr>
          <w:rFonts w:ascii="宋体" w:hAnsi="宋体" w:hint="eastAsia"/>
          <w:bCs/>
          <w:szCs w:val="21"/>
        </w:rPr>
        <w:t>年加入东海基金。</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周华成先生，副总经理暨首席信息官暨财务负责人。计算机应用专业硕士，兼任东海瑞</w:t>
      </w:r>
      <w:r>
        <w:rPr>
          <w:rFonts w:ascii="宋体" w:hAnsi="宋体" w:hint="eastAsia"/>
          <w:bCs/>
          <w:szCs w:val="21"/>
        </w:rPr>
        <w:lastRenderedPageBreak/>
        <w:t>京资产管理（上海）有限公司董事。曾任上海726研究所信息技术部工程师，上海中原电子电子工程公司工程部工程师，新时代证券有限公司副总裁，东海期货有限责任公司常务副总经理，东海证券有限责任公司业务总监、部门总经理等职；2020年加入东海基金，曾任东海基金管理有限责任公司监事会主席。</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戴晓敏女士，副总经理。金融学专业硕士，曾任深圳发展银行上海分行计财、运营部主管，南京银行上海分行金融同业部高级经理，德邦证券资产管理总部机构同业部总经理，资产管理总部副总经理兼机构金融部总经理、资产管理总部联席总经理兼机构金融部总经理等职。2020年加入东海基金。</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宗华俊先生，副总经理。学士学位，曾先后任职于南京市公安局、中国证券监督管理委员会江苏监管局。2020年9月加入东海基金。</w:t>
      </w:r>
    </w:p>
    <w:bookmarkEnd w:id="35"/>
    <w:p w:rsidR="004D1858" w:rsidRDefault="004D1858" w:rsidP="004D1858">
      <w:pPr>
        <w:snapToGrid w:val="0"/>
        <w:spacing w:line="360" w:lineRule="auto"/>
        <w:ind w:firstLineChars="200" w:firstLine="420"/>
      </w:pPr>
      <w:r>
        <w:rPr>
          <w:rFonts w:ascii="宋体" w:hAnsi="宋体"/>
          <w:bCs/>
          <w:szCs w:val="21"/>
        </w:rPr>
        <w:t>4</w:t>
      </w:r>
      <w:r>
        <w:rPr>
          <w:rFonts w:ascii="宋体" w:hAnsi="宋体" w:hint="eastAsia"/>
          <w:bCs/>
          <w:szCs w:val="21"/>
        </w:rPr>
        <w:t>、基金经理</w:t>
      </w:r>
    </w:p>
    <w:p w:rsidR="004D1858" w:rsidRDefault="004D1858" w:rsidP="00BA3A03">
      <w:pPr>
        <w:snapToGrid w:val="0"/>
        <w:spacing w:line="360" w:lineRule="auto"/>
        <w:ind w:firstLineChars="200" w:firstLine="420"/>
        <w:rPr>
          <w:rFonts w:ascii="宋体" w:hAnsi="宋体"/>
          <w:bCs/>
          <w:szCs w:val="21"/>
        </w:rPr>
      </w:pPr>
      <w:r>
        <w:rPr>
          <w:rFonts w:ascii="宋体" w:hAnsi="宋体"/>
          <w:bCs/>
          <w:szCs w:val="21"/>
        </w:rPr>
        <w:t>邢烨先生，金融硕士，特许金融分析师（CFA）。曾任职于德邦证券股份有限公司资产管理总部，先后担任交易员、投资经理、投资副总监等职务，主要负责固定收益投资、交易等工作，2020年7月加入东海基金管理有限责任公司。2021年3月5日起担任东海祥泰三年定期开放债券型发起式证券投资基金的基金经理；2021年4月16日起担任东海祥苏短债债券型证券投资基金的基金经理；2021年6月15日起担任东海祥利纯债债券型证券投资基金的基金经理；2021年7月19日起担任东海鑫享66个月定期开放债券型证券投资基金的基金经理；2021年12月13日起担任东海启航6个月持有期混合型证券投资基金的基金经理</w:t>
      </w:r>
      <w:r>
        <w:rPr>
          <w:rFonts w:ascii="宋体" w:hAnsi="宋体" w:hint="eastAsia"/>
          <w:bCs/>
          <w:szCs w:val="21"/>
        </w:rPr>
        <w:t>；2</w:t>
      </w:r>
      <w:r>
        <w:rPr>
          <w:rFonts w:ascii="宋体" w:hAnsi="宋体"/>
          <w:bCs/>
          <w:szCs w:val="21"/>
        </w:rPr>
        <w:t>022</w:t>
      </w:r>
      <w:r>
        <w:rPr>
          <w:rFonts w:ascii="宋体" w:hAnsi="宋体" w:hint="eastAsia"/>
          <w:bCs/>
          <w:szCs w:val="21"/>
        </w:rPr>
        <w:t>年8月1</w:t>
      </w:r>
      <w:r>
        <w:rPr>
          <w:rFonts w:ascii="宋体" w:hAnsi="宋体"/>
          <w:bCs/>
          <w:szCs w:val="21"/>
        </w:rPr>
        <w:t>2</w:t>
      </w:r>
      <w:r>
        <w:rPr>
          <w:rFonts w:ascii="宋体" w:hAnsi="宋体" w:hint="eastAsia"/>
          <w:bCs/>
          <w:szCs w:val="21"/>
        </w:rPr>
        <w:t>日起</w:t>
      </w:r>
      <w:r>
        <w:rPr>
          <w:rFonts w:ascii="宋体" w:hAnsi="宋体"/>
          <w:bCs/>
          <w:szCs w:val="21"/>
        </w:rPr>
        <w:t>担任东海</w:t>
      </w:r>
      <w:r>
        <w:rPr>
          <w:rFonts w:ascii="宋体" w:hAnsi="宋体" w:hint="eastAsia"/>
          <w:bCs/>
          <w:szCs w:val="21"/>
        </w:rPr>
        <w:t>鑫宁三个月定期开放债券</w:t>
      </w:r>
      <w:r>
        <w:rPr>
          <w:rFonts w:ascii="宋体" w:hAnsi="宋体"/>
          <w:bCs/>
          <w:szCs w:val="21"/>
        </w:rPr>
        <w:t>型证券投资基金的基金经理</w:t>
      </w:r>
      <w:r w:rsidR="00BA3A03">
        <w:rPr>
          <w:rFonts w:ascii="宋体" w:hAnsi="宋体" w:hint="eastAsia"/>
          <w:bCs/>
          <w:szCs w:val="21"/>
        </w:rPr>
        <w:t>，</w:t>
      </w:r>
      <w:r w:rsidR="00BA3A03" w:rsidRPr="00BA3A03">
        <w:rPr>
          <w:rFonts w:ascii="宋体" w:hAnsi="宋体" w:hint="eastAsia"/>
          <w:bCs/>
          <w:szCs w:val="21"/>
        </w:rPr>
        <w:t>2</w:t>
      </w:r>
      <w:r w:rsidR="00BA3A03" w:rsidRPr="00BA3A03">
        <w:rPr>
          <w:rFonts w:ascii="宋体" w:hAnsi="宋体"/>
          <w:bCs/>
          <w:szCs w:val="21"/>
        </w:rPr>
        <w:t>023</w:t>
      </w:r>
      <w:r w:rsidR="00BA3A03" w:rsidRPr="00BA3A03">
        <w:rPr>
          <w:rFonts w:ascii="宋体" w:hAnsi="宋体" w:hint="eastAsia"/>
          <w:bCs/>
          <w:szCs w:val="21"/>
        </w:rPr>
        <w:t>年3月1</w:t>
      </w:r>
      <w:r w:rsidR="00BA3A03" w:rsidRPr="00BA3A03">
        <w:rPr>
          <w:rFonts w:ascii="宋体" w:hAnsi="宋体"/>
          <w:bCs/>
          <w:szCs w:val="21"/>
        </w:rPr>
        <w:t>7</w:t>
      </w:r>
      <w:r w:rsidR="00BA3A03" w:rsidRPr="00BA3A03">
        <w:rPr>
          <w:rFonts w:ascii="宋体" w:hAnsi="宋体" w:hint="eastAsia"/>
          <w:bCs/>
          <w:szCs w:val="21"/>
        </w:rPr>
        <w:t>日起担任东海鑫乐一年定期开放债券型发起式证券投资基金的基金经理</w:t>
      </w:r>
      <w:r>
        <w:rPr>
          <w:rFonts w:ascii="宋体" w:hAnsi="宋体"/>
          <w:bCs/>
          <w:szCs w:val="21"/>
        </w:rPr>
        <w:t>。</w:t>
      </w:r>
    </w:p>
    <w:p w:rsidR="004D1858" w:rsidRDefault="004D1858" w:rsidP="00BA3A03">
      <w:pPr>
        <w:snapToGrid w:val="0"/>
        <w:spacing w:line="360" w:lineRule="auto"/>
        <w:ind w:firstLineChars="200" w:firstLine="420"/>
        <w:rPr>
          <w:rFonts w:ascii="宋体" w:hAnsi="宋体"/>
          <w:bCs/>
          <w:szCs w:val="21"/>
        </w:rPr>
      </w:pPr>
      <w:r>
        <w:rPr>
          <w:rFonts w:ascii="宋体" w:hAnsi="宋体"/>
          <w:bCs/>
          <w:szCs w:val="21"/>
        </w:rPr>
        <w:t>张浩硕先生，金融工程硕士，特许金融分析师（CFA）。曾任职于上海新世纪资信评估投资服务有限公司，担任信用分析师职位。2018年12月加入东海基金，先后担任固定收益部信评研究员、研发策略部固收研究员等职位。2022年3月9日起担任东海祥瑞债券型证券投资基金和东海祥泰三年定期开放债券型发起式证券投资基金的基金经理；2022年3月14日起担任东海祥苏短债债券型证券投资基金和东海鑫享66个月定期开放债券型证券投资基金的基金经理</w:t>
      </w:r>
      <w:r w:rsidR="00BA3A03">
        <w:rPr>
          <w:rFonts w:ascii="宋体" w:hAnsi="宋体" w:hint="eastAsia"/>
          <w:bCs/>
          <w:szCs w:val="21"/>
        </w:rPr>
        <w:t>，</w:t>
      </w:r>
      <w:r w:rsidR="00BA3A03" w:rsidRPr="00BA3A03">
        <w:rPr>
          <w:rFonts w:ascii="宋体" w:hAnsi="宋体" w:hint="eastAsia"/>
          <w:bCs/>
          <w:szCs w:val="21"/>
        </w:rPr>
        <w:t>2</w:t>
      </w:r>
      <w:r w:rsidR="00BA3A03" w:rsidRPr="00BA3A03">
        <w:rPr>
          <w:rFonts w:ascii="宋体" w:hAnsi="宋体"/>
          <w:bCs/>
          <w:szCs w:val="21"/>
        </w:rPr>
        <w:t>023</w:t>
      </w:r>
      <w:r w:rsidR="00BA3A03" w:rsidRPr="00BA3A03">
        <w:rPr>
          <w:rFonts w:ascii="宋体" w:hAnsi="宋体" w:hint="eastAsia"/>
          <w:bCs/>
          <w:szCs w:val="21"/>
        </w:rPr>
        <w:t>年3月1</w:t>
      </w:r>
      <w:r w:rsidR="00BA3A03" w:rsidRPr="00BA3A03">
        <w:rPr>
          <w:rFonts w:ascii="宋体" w:hAnsi="宋体"/>
          <w:bCs/>
          <w:szCs w:val="21"/>
        </w:rPr>
        <w:t>7</w:t>
      </w:r>
      <w:r w:rsidR="00BA3A03" w:rsidRPr="00BA3A03">
        <w:rPr>
          <w:rFonts w:ascii="宋体" w:hAnsi="宋体" w:hint="eastAsia"/>
          <w:bCs/>
          <w:szCs w:val="21"/>
        </w:rPr>
        <w:t>日起担任东海鑫乐一年定期开放债券型发起式证券投资基金的基金经理</w:t>
      </w:r>
      <w:r>
        <w:rPr>
          <w:rFonts w:ascii="宋体" w:hAnsi="宋体"/>
          <w:bCs/>
          <w:szCs w:val="21"/>
        </w:rPr>
        <w:t>。</w:t>
      </w:r>
    </w:p>
    <w:p w:rsidR="00BA3A03" w:rsidRDefault="00BA3A03" w:rsidP="00BA3A03">
      <w:pPr>
        <w:snapToGrid w:val="0"/>
        <w:spacing w:line="360" w:lineRule="auto"/>
        <w:ind w:firstLineChars="200" w:firstLine="420"/>
        <w:rPr>
          <w:rFonts w:ascii="宋体" w:hAnsi="宋体"/>
          <w:bCs/>
          <w:szCs w:val="21"/>
        </w:rPr>
      </w:pPr>
      <w:r>
        <w:rPr>
          <w:rFonts w:ascii="宋体" w:hAnsi="宋体" w:hint="eastAsia"/>
          <w:bCs/>
          <w:szCs w:val="21"/>
        </w:rPr>
        <w:t>祝鸿玲女士，政府经济学博士。2008年进入金融行业，曾任职于中国人民银行六安市中心支行、中国人民银行货币政策司、东海证券股份有限公司基金筹备组等。2013年2月加入东海基金管理有限责任公司。历任东海基金管理有限责任公司研究开发部债券研究员、专户理财部投资经理、固定收益部负责人等职。2021年7月19日起担任东海鑫享66个月定期开放债券型证券投资基金的基金经理；2021年12月13日起任东海启航6个月持有期混合型证券投资基金基金经理。</w:t>
      </w:r>
    </w:p>
    <w:p w:rsidR="004D1858" w:rsidRDefault="004D1858" w:rsidP="004D1858">
      <w:pPr>
        <w:snapToGrid w:val="0"/>
        <w:spacing w:line="360" w:lineRule="auto"/>
        <w:ind w:firstLineChars="200" w:firstLine="420"/>
        <w:rPr>
          <w:rFonts w:ascii="宋体" w:hAnsi="宋体"/>
          <w:bCs/>
          <w:szCs w:val="21"/>
        </w:rPr>
      </w:pPr>
      <w:bookmarkStart w:id="36" w:name="_GoBack"/>
      <w:bookmarkEnd w:id="36"/>
      <w:r>
        <w:rPr>
          <w:rFonts w:ascii="宋体" w:hAnsi="宋体"/>
          <w:bCs/>
          <w:szCs w:val="21"/>
        </w:rPr>
        <w:t>5</w:t>
      </w:r>
      <w:r>
        <w:rPr>
          <w:rFonts w:ascii="宋体" w:hAnsi="宋体" w:hint="eastAsia"/>
          <w:bCs/>
          <w:szCs w:val="21"/>
        </w:rPr>
        <w:t>、投资决策委员会成员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lastRenderedPageBreak/>
        <w:t>主任委员：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严晓珺女士，总经理</w:t>
      </w:r>
    </w:p>
    <w:p w:rsidR="004D1858" w:rsidRDefault="004D1858" w:rsidP="007F06E9">
      <w:pPr>
        <w:snapToGrid w:val="0"/>
        <w:spacing w:line="360" w:lineRule="auto"/>
        <w:ind w:firstLineChars="200" w:firstLine="420"/>
        <w:rPr>
          <w:rFonts w:ascii="宋体" w:hAnsi="宋体"/>
          <w:bCs/>
          <w:szCs w:val="21"/>
        </w:rPr>
      </w:pPr>
      <w:r>
        <w:rPr>
          <w:rFonts w:ascii="宋体" w:hAnsi="宋体" w:hint="eastAsia"/>
          <w:bCs/>
          <w:szCs w:val="21"/>
        </w:rPr>
        <w:t>成员：</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刘梦忆，固定收益研究部经理。</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邵炜，基金经理。</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张立新，基金经理。</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李珂，基金经理。</w:t>
      </w:r>
    </w:p>
    <w:p w:rsidR="004D1858" w:rsidRDefault="004D1858" w:rsidP="004D1858">
      <w:pPr>
        <w:snapToGrid w:val="0"/>
        <w:spacing w:line="360" w:lineRule="auto"/>
        <w:ind w:firstLineChars="200" w:firstLine="420"/>
        <w:rPr>
          <w:rFonts w:ascii="宋体" w:hAnsi="宋体"/>
          <w:bCs/>
          <w:szCs w:val="21"/>
        </w:rPr>
      </w:pPr>
      <w:r>
        <w:rPr>
          <w:rFonts w:ascii="宋体" w:hAnsi="宋体" w:hint="eastAsia"/>
          <w:bCs/>
          <w:szCs w:val="21"/>
        </w:rPr>
        <w:t>邢烨，基金经理。</w:t>
      </w:r>
    </w:p>
    <w:p w:rsidR="004D1858" w:rsidRDefault="004D1858" w:rsidP="004D1858">
      <w:pPr>
        <w:numPr>
          <w:ilvl w:val="0"/>
          <w:numId w:val="31"/>
        </w:numPr>
        <w:snapToGrid w:val="0"/>
        <w:spacing w:line="360" w:lineRule="auto"/>
        <w:ind w:left="425" w:firstLineChars="200" w:firstLine="420"/>
        <w:rPr>
          <w:rFonts w:ascii="宋体" w:hAnsi="宋体"/>
          <w:color w:val="000000"/>
        </w:rPr>
      </w:pPr>
      <w:r>
        <w:rPr>
          <w:rFonts w:ascii="宋体" w:hAnsi="宋体" w:hint="eastAsia"/>
          <w:color w:val="000000"/>
        </w:rPr>
        <w:t>上述人员之间不存在近亲属关系。</w:t>
      </w:r>
    </w:p>
    <w:p w:rsidR="004D1858" w:rsidRDefault="004D1858" w:rsidP="004D1858">
      <w:pPr>
        <w:numPr>
          <w:ilvl w:val="255"/>
          <w:numId w:val="0"/>
        </w:numPr>
        <w:snapToGrid w:val="0"/>
        <w:spacing w:line="360" w:lineRule="auto"/>
        <w:rPr>
          <w:rFonts w:ascii="宋体" w:hAnsi="宋体"/>
          <w:color w:val="000000"/>
        </w:rPr>
      </w:pPr>
    </w:p>
    <w:p w:rsidR="004D1858" w:rsidRDefault="004D1858" w:rsidP="004D1858">
      <w:pPr>
        <w:adjustRightInd w:val="0"/>
        <w:snapToGrid w:val="0"/>
        <w:spacing w:line="360" w:lineRule="auto"/>
        <w:rPr>
          <w:rFonts w:ascii="宋体" w:hAnsi="宋体"/>
          <w:b/>
          <w:bCs/>
          <w:color w:val="000000"/>
        </w:rPr>
      </w:pPr>
      <w:r>
        <w:rPr>
          <w:rFonts w:ascii="宋体" w:hAnsi="宋体" w:hint="eastAsia"/>
          <w:b/>
          <w:bCs/>
          <w:color w:val="000000"/>
        </w:rPr>
        <w:t xml:space="preserve">    三、基金管理人的职责</w:t>
      </w:r>
    </w:p>
    <w:p w:rsidR="004D1858" w:rsidRDefault="004D1858" w:rsidP="004D1858">
      <w:pPr>
        <w:adjustRightInd w:val="0"/>
        <w:snapToGrid w:val="0"/>
        <w:spacing w:line="360" w:lineRule="auto"/>
        <w:ind w:firstLineChars="200" w:firstLine="420"/>
        <w:rPr>
          <w:rFonts w:ascii="宋体" w:hAnsi="宋体"/>
          <w:color w:val="000000"/>
        </w:rPr>
      </w:pPr>
      <w:bookmarkStart w:id="37" w:name="_Hlk97375428"/>
      <w:r>
        <w:rPr>
          <w:rFonts w:ascii="宋体" w:hAnsi="宋体" w:hint="eastAsia"/>
          <w:color w:val="000000"/>
        </w:rPr>
        <w:t>（1）依法募集资金，办理或者委托经中国证监会认定的其他机构代为办理基金份额的发售、申购、赎回和登记事宜；</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（2）办理基金备案手续；</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（3）自基金合同生效之日起，以诚实信用、谨慎勤勉的原则管理和运用基金财产；</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（4）配备足够的具有专业资格的人员进行基金投资分析、决策，以专业化的经营方式管理和运作基金财产；</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（5）建立健全内部风险控制、监察与稽核、财务管理及人事管理等制度，保证所管理的基金财产和基金管理人的财产相互独立，对所管理的不同基金分别管理，分别记账，进行证券投资；</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（6）除依据《基金法》、《基金合同》及其他有关规定外，不得利用基金财产为自己及任何第三人谋取利益，不得委托第三人运作基金财产；</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（7）依法接受基金托管人的监督；</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（8）采取适当合理的措施使计算基金份额认购、申购、赎回和注销价格的方法符合《基金合同》等法律文件的规定，按有关规定计算并公告基金净值信息，确定基金份额申购、赎回的价格；</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（9）进行基金会计核算并编制基金财务会计报告；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（10）编制季度报告、中期报告和年度报告；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（11）严格按照《基金法》、《基金合同》及其他有关规定，履行信息披露及报告义务；</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（12）保守基金商业秘密，不泄露基金投资计划、投资意向等。除《基金法》、《基金合同》及其他有关规定另有规定外，在基金信息公开披露前应予保密，不向他人泄露</w:t>
      </w:r>
      <w:r>
        <w:rPr>
          <w:rFonts w:ascii="宋体" w:hAnsi="宋体" w:hint="eastAsia"/>
          <w:bCs/>
          <w:color w:val="000000"/>
        </w:rPr>
        <w:t>，向审计、法律等外部专业顾问提供的情况除外</w:t>
      </w:r>
      <w:r>
        <w:rPr>
          <w:rFonts w:ascii="宋体" w:hAnsi="宋体" w:hint="eastAsia"/>
          <w:color w:val="000000"/>
        </w:rPr>
        <w:t>；</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（13）按《基金合同》的约定确定基金收益分配方案，及时向基金份额持有人分配基金收益；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lastRenderedPageBreak/>
        <w:t>（14）按规定受理申购与赎回申请，及时、足额支付赎回款项；</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（15）依据《基金法》、《基金合同》及其他有关规定召集基金份额持有人大会或配合基金托管人、基金份额持有人依法召集基金份额持有人大会；</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（16）按规定保存基金财产管理业务活动的会计账册、报表、记录和其他相关资料不低于法律法规规定的最低期限；</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（18）组织并参加基金财产清算小组，参与基金财产的保管、清理、估价、变现和分配；</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（19）面临解散、依法被撤销或者被依法宣告破产时，及时报告中国证监会并通知基金托管人；</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（20）因违反《基金合同》导致基金财产的损失或损害基金份额持有人合法权益时，应当承担赔偿责任，其赔偿责任不因其退任而免除；</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（21）监督基金托管人按法律法规和《基金合同》规定履行自己的义务，基金托管人违反《基金合同》造成基金财产损失时，基金管理人应为基金份额持有人利益向基金托管人追偿；</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（22）当基金管理人将其义务委托第三方处理时，应当对第三方处理有关基</w:t>
      </w:r>
      <w:r>
        <w:rPr>
          <w:rFonts w:ascii="宋体" w:hAnsi="宋体"/>
          <w:color w:val="000000"/>
        </w:rPr>
        <w:t>金事务的行为承担责任；</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（23）以基金管理人名义，代表基金份额持有人利益行使诉讼权利或实施其他法律行为；</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（24）基金管理人在募集期间未能达到基金的备案条件，《基金合同》不能生效，基金管理人承担全部募集费用，将已募集资金并加计银行同期活期存款利息在基金募集期结束后</w:t>
      </w:r>
      <w:r>
        <w:rPr>
          <w:rFonts w:ascii="宋体" w:hAnsi="宋体"/>
          <w:color w:val="000000"/>
        </w:rPr>
        <w:t>30</w:t>
      </w:r>
      <w:r>
        <w:rPr>
          <w:rFonts w:ascii="宋体" w:hAnsi="宋体" w:hint="eastAsia"/>
          <w:color w:val="000000"/>
        </w:rPr>
        <w:t>日内退还基金认购人；</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（25）执行生效的基金份额持有人大会的决议；</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（26）建立并保存基金份额持有人名册；</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（27）法律法规及中国证监会规定的和《基金合同》约定的其他义务。</w:t>
      </w:r>
    </w:p>
    <w:p w:rsidR="004D1858" w:rsidRDefault="004D1858" w:rsidP="004D1858">
      <w:pPr>
        <w:adjustRightInd w:val="0"/>
        <w:snapToGrid w:val="0"/>
        <w:spacing w:line="360" w:lineRule="auto"/>
        <w:ind w:firstLineChars="200" w:firstLine="420"/>
        <w:rPr>
          <w:rFonts w:ascii="宋体" w:hAnsi="宋体"/>
          <w:color w:val="000000"/>
        </w:rPr>
      </w:pPr>
      <w:bookmarkStart w:id="38" w:name="_Hlt88897298"/>
      <w:bookmarkEnd w:id="37"/>
      <w:bookmarkEnd w:id="38"/>
    </w:p>
    <w:p w:rsidR="004D1858" w:rsidRDefault="004D1858" w:rsidP="004D1858">
      <w:pPr>
        <w:adjustRightInd w:val="0"/>
        <w:snapToGrid w:val="0"/>
        <w:spacing w:line="360" w:lineRule="auto"/>
        <w:rPr>
          <w:rFonts w:ascii="宋体" w:hAnsi="宋体"/>
          <w:b/>
          <w:bCs/>
          <w:color w:val="000000"/>
        </w:rPr>
      </w:pPr>
      <w:r>
        <w:rPr>
          <w:rFonts w:ascii="宋体" w:hAnsi="宋体" w:hint="eastAsia"/>
          <w:b/>
          <w:bCs/>
          <w:color w:val="000000"/>
        </w:rPr>
        <w:t xml:space="preserve">    四、基金管理人的承诺</w:t>
      </w:r>
    </w:p>
    <w:p w:rsidR="004D1858" w:rsidRDefault="004D1858" w:rsidP="004D1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基金管理人承诺严格遵守现行有效的相关法律法规《基金合同》和中国证监会的有关规定，建立健全内部控制制度，采取有效措施，防止违反现行有效的有关法律法规、《基金合同》和中国证监会有关规定的行为发生。</w:t>
      </w:r>
    </w:p>
    <w:p w:rsidR="004D1858" w:rsidRDefault="004D1858" w:rsidP="004D1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、基金管理人承诺严格遵守《基金法》及有关法律法规，建立健全的内部控制制度，采取有效措施，防止下列行为发生：</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）将其固有财产或者他人财产混同于基金财产从事证券投资。</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）不公平地对待其管理的不同基金财产。</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lastRenderedPageBreak/>
        <w:t>（</w:t>
      </w:r>
      <w:r>
        <w:rPr>
          <w:rFonts w:ascii="宋体" w:hAnsi="宋体"/>
          <w:szCs w:val="21"/>
        </w:rPr>
        <w:t>3</w:t>
      </w:r>
      <w:r>
        <w:rPr>
          <w:rFonts w:ascii="宋体" w:hAnsi="宋体" w:hint="eastAsia"/>
          <w:szCs w:val="21"/>
        </w:rPr>
        <w:t>）利用基金财产或者职务之便为基金份额持有人以外的第三人谋取利益。</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）向基金份额持有人违规承诺收益或者承担损失。</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）侵占、挪用基金财产。</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（6）泄露因职务便利获取的未公开信息、利用该信息从事或者明示、暗示他人从事相关的交易活动。</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（7）玩忽职守，不按照规定履行职责。</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（8）法律法规或中国证监会禁止的其他行为。</w:t>
      </w:r>
    </w:p>
    <w:p w:rsidR="004D1858" w:rsidRDefault="004D1858" w:rsidP="004D1858">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、本基金管理人承诺加强人员管理，强化职业操守，督促和约束员工遵守国家有关法律、法规及行业规范，诚实信用、勤勉尽责，不从事以下活动：</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）越权或违规经营；</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）违反《基金合同》或《托管协议》；</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）故意损害基金份额持有人或其他基金相关机构的合法利益；</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）在向中国证监会报送的资料中弄虚作假；</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）拒绝、干扰、阻挠或严重影响中国证监会依法监管；</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）玩忽职守，不按照规定履行职责；</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违反现行有效的有关法律、法规、规章、《基金合同》和中国证监会的有关规定，泄漏在任职期间知悉的有关证券、基金的商业秘密和尚未依法公开的基金投资内容、基金投资计划等信息，或利用该信息从事或者明示、暗示他人从事相关的交易活动；</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8</w:t>
      </w:r>
      <w:r>
        <w:rPr>
          <w:rFonts w:ascii="宋体" w:hAnsi="宋体" w:hint="eastAsia"/>
          <w:szCs w:val="21"/>
        </w:rPr>
        <w:t>）违反证券交易场所业务规则，利用对敲、倒仓等手段操纵市场价格，扰乱市场秩序；</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）贬损同行，以抬高自己；</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10</w:t>
      </w:r>
      <w:r>
        <w:rPr>
          <w:rFonts w:ascii="宋体" w:hAnsi="宋体" w:hint="eastAsia"/>
          <w:szCs w:val="21"/>
        </w:rPr>
        <w:t>）以不正当手段谋求业务发展；</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11</w:t>
      </w:r>
      <w:r>
        <w:rPr>
          <w:rFonts w:ascii="宋体" w:hAnsi="宋体" w:hint="eastAsia"/>
          <w:szCs w:val="21"/>
        </w:rPr>
        <w:t>）有悖社会公德，损害证券投资基金人员形象；</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12</w:t>
      </w:r>
      <w:r>
        <w:rPr>
          <w:rFonts w:ascii="宋体" w:hAnsi="宋体" w:hint="eastAsia"/>
          <w:szCs w:val="21"/>
        </w:rPr>
        <w:t>）在公开信息披露和广告中故意含有虚假、误导、欺诈成分；</w:t>
      </w:r>
    </w:p>
    <w:p w:rsidR="004D1858" w:rsidRDefault="004D1858" w:rsidP="004D1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13</w:t>
      </w:r>
      <w:r>
        <w:rPr>
          <w:rFonts w:ascii="宋体" w:hAnsi="宋体" w:hint="eastAsia"/>
          <w:szCs w:val="21"/>
        </w:rPr>
        <w:t>）其他法律、行政法规以及中国证监会禁止的行为。</w:t>
      </w:r>
    </w:p>
    <w:p w:rsidR="004D1858" w:rsidRDefault="004D1858" w:rsidP="004D1858">
      <w:pPr>
        <w:adjustRightInd w:val="0"/>
        <w:snapToGrid w:val="0"/>
        <w:spacing w:line="360" w:lineRule="auto"/>
        <w:ind w:firstLine="420"/>
        <w:rPr>
          <w:rFonts w:ascii="宋体" w:hAnsi="宋体"/>
          <w:szCs w:val="21"/>
        </w:rPr>
      </w:pPr>
      <w:r>
        <w:rPr>
          <w:rFonts w:ascii="宋体" w:hAnsi="宋体" w:hint="eastAsia"/>
          <w:b/>
          <w:bCs/>
          <w:color w:val="000000"/>
        </w:rPr>
        <w:t xml:space="preserve"> </w:t>
      </w:r>
      <w:r>
        <w:rPr>
          <w:rFonts w:ascii="宋体" w:hAnsi="宋体"/>
          <w:szCs w:val="21"/>
        </w:rPr>
        <w:t>4、基金管理人承诺严格遵守基金合同的规定，并承诺建立健全内部控制制度，采取有效措施，防止违反基金合同行为的发生。</w:t>
      </w:r>
    </w:p>
    <w:p w:rsidR="004D1858" w:rsidRDefault="004D1858" w:rsidP="004D1858">
      <w:pPr>
        <w:adjustRightInd w:val="0"/>
        <w:snapToGrid w:val="0"/>
        <w:spacing w:line="360" w:lineRule="auto"/>
        <w:rPr>
          <w:rFonts w:ascii="宋体" w:hAnsi="宋体"/>
          <w:b/>
          <w:bCs/>
          <w:color w:val="000000"/>
        </w:rPr>
      </w:pPr>
      <w:r>
        <w:rPr>
          <w:rFonts w:ascii="宋体" w:hAnsi="宋体"/>
          <w:szCs w:val="21"/>
        </w:rPr>
        <w:t xml:space="preserve">     5、基金管理人承诺不从事其他</w:t>
      </w:r>
      <w:r>
        <w:rPr>
          <w:rFonts w:ascii="宋体" w:hAnsi="宋体" w:hint="eastAsia"/>
          <w:szCs w:val="21"/>
        </w:rPr>
        <w:t>法律</w:t>
      </w:r>
      <w:r>
        <w:rPr>
          <w:rFonts w:ascii="宋体" w:hAnsi="宋体"/>
          <w:szCs w:val="21"/>
        </w:rPr>
        <w:t>法规规定禁止从事的行为。</w:t>
      </w:r>
    </w:p>
    <w:p w:rsidR="004D1858" w:rsidRDefault="004D1858" w:rsidP="004D1858">
      <w:pPr>
        <w:adjustRightInd w:val="0"/>
        <w:snapToGrid w:val="0"/>
        <w:spacing w:line="360" w:lineRule="auto"/>
        <w:ind w:firstLineChars="200" w:firstLine="422"/>
        <w:rPr>
          <w:rFonts w:ascii="宋体" w:hAnsi="宋体"/>
          <w:b/>
          <w:bCs/>
          <w:color w:val="000000"/>
        </w:rPr>
      </w:pPr>
    </w:p>
    <w:p w:rsidR="004D1858" w:rsidRDefault="004D1858" w:rsidP="004D1858">
      <w:pPr>
        <w:adjustRightInd w:val="0"/>
        <w:snapToGrid w:val="0"/>
        <w:spacing w:line="360" w:lineRule="auto"/>
        <w:ind w:firstLineChars="200" w:firstLine="422"/>
        <w:rPr>
          <w:rFonts w:ascii="宋体" w:hAnsi="宋体"/>
          <w:b/>
          <w:bCs/>
          <w:color w:val="000000"/>
        </w:rPr>
      </w:pPr>
      <w:r>
        <w:rPr>
          <w:rFonts w:ascii="宋体" w:hAnsi="宋体" w:hint="eastAsia"/>
          <w:b/>
          <w:bCs/>
          <w:color w:val="000000"/>
        </w:rPr>
        <w:t>五、基金经理承诺</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（1）依照有关法律、法规和基金合同的规定，本着谨慎的原则为基金份额持有人谋取最大利益；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（2）不利用职务之便为自己及其代理人、受雇人或任何第三人谋取利益；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（3）不违反现行有效的有关法律、法规、规章、基金合同和中国证监会的有关规定，</w:t>
      </w:r>
      <w:r>
        <w:rPr>
          <w:rFonts w:ascii="宋体" w:hAnsi="宋体" w:hint="eastAsia"/>
          <w:color w:val="000000"/>
        </w:rPr>
        <w:lastRenderedPageBreak/>
        <w:t>泄漏在任职期间知悉的有关证券、基金的商业秘密、尚未依法公开的基金投资内容、基金投资计划等信息，或利用该信息从事或者明示、暗示他人从事相关的交易活动；</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（4）不从事损害基金财产和基金份额持有人利益的证券交易及其他活动。</w:t>
      </w:r>
    </w:p>
    <w:p w:rsidR="004D1858" w:rsidRDefault="004D1858" w:rsidP="004D1858">
      <w:pPr>
        <w:adjustRightInd w:val="0"/>
        <w:snapToGrid w:val="0"/>
        <w:spacing w:line="360" w:lineRule="auto"/>
        <w:ind w:firstLineChars="200" w:firstLine="420"/>
        <w:rPr>
          <w:rFonts w:ascii="宋体" w:hAnsi="宋体"/>
          <w:color w:val="000000"/>
        </w:rPr>
      </w:pPr>
    </w:p>
    <w:p w:rsidR="004D1858" w:rsidRDefault="004D1858" w:rsidP="004D1858">
      <w:pPr>
        <w:adjustRightInd w:val="0"/>
        <w:snapToGrid w:val="0"/>
        <w:spacing w:line="360" w:lineRule="auto"/>
        <w:ind w:firstLineChars="200" w:firstLine="422"/>
        <w:rPr>
          <w:rFonts w:ascii="宋体" w:hAnsi="宋体"/>
          <w:b/>
          <w:bCs/>
          <w:color w:val="000000"/>
        </w:rPr>
      </w:pPr>
      <w:r>
        <w:rPr>
          <w:rFonts w:ascii="宋体" w:hAnsi="宋体" w:hint="eastAsia"/>
          <w:b/>
          <w:bCs/>
          <w:color w:val="000000"/>
        </w:rPr>
        <w:t>六、基金管理人的内部控制制度</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1、内部控制的目标</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（1）保证公司经营运作严格遵守国家有关法律法规和行业监管规则，自觉形成守法经营、规范运作的经营思想和经营理念。</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（2）防范和化解经营风险，提高经营管理效益，确保经营业务的稳健运行和受托资产的安全完整，实现公司的持续、稳定、健康发展。</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（3）确保基金、公司财务和其它信息真实、准确、完整、及时。</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2、内部控制的原则</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（1）健全性原则：内部控制涉及公司的各项业务、各个部门以及各级人员，并涵盖到决策、执行、监督、反馈等各个环节。</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（2）有效性原则：通过科学的内控手段和方法，建立合理的内控程序，维护内控制度的有效执行。</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（3）独立性原则：公司各机构、部门和岗位职责应当保持相对独立，公司基金财产、自有资产、其他资产的运作应当分离。</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（4）相互制约原则：公司内部部门和岗位的设置应当权责分明、相互制衡。</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（5）成本效益原则：公司运用科学化的经营管理方法降低运作成本，提高经济效益，以合理的控制成本达到最佳的内部控制效果。</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3、内部控制的主要内容</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（1）控制环境</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董事会负责控制公司整体运营风险。董事会通过控制公司治理结构风险、制定基本管理制度、完善有关议事规则及充分发挥独立董事的作用达到对风险的最终控制。</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公司管理层在总经理领导下，认真执行董事会确定的内部控制战略，为有效贯彻公司董事会制定的经营方针及发展战略，设立了投资决策委员会和风险控制委员会，就基金投资和风险控制等发表专业意见及建议。</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设立督察长，负责对公司和基金的内部控制和管理情况进行全面监督，对公司保持各项管理制度的合法性、合理性、有效性和完备程度进行检查并督促改进，发现重大问题及时向公司董事会、中国证监会和/或相关派出机构报告。</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风险管理部是公司负责风险管理的职能部门。风险管理部负责公司风险控制体系建设， 识别业务所涉及的各类风险，对公司投资组合的投资交易进行风险监控，指导、检查公司公 平交易的执行情况，实施异常交易监控，对各投资组合进行压力测试，并配合做好流动性管</w:t>
      </w:r>
      <w:r>
        <w:rPr>
          <w:rFonts w:ascii="宋体" w:hAnsi="宋体" w:hint="eastAsia"/>
          <w:color w:val="000000"/>
        </w:rPr>
        <w:lastRenderedPageBreak/>
        <w:t>理。</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合规法务部是公司对各项经营管理活动进行合规管理和监察稽核的职能部门。合规法务部对公司各职能部门在业务运作中的遵规守法情况进行监督和检查，保证公司为控制风险所制定的各项管理制度切实得到贯彻和执行。</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公司各职能部门是公司内部控制措施的具体执行单位，在法律、法规和公司各项基本管理制度的基础上，依据具体情况制定部门的管理办法、操作流程及风险控制方法，并督导部门员工严格执行。</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（2）风险评估</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风险管理人员定期评估公司及基金的风险状况，包括所有能对经营目标、投资目标产生负面影响的内部和外部因素，对公司总体经营目标产生影响的可能性及影响程度，并将评估报告报公司管理层和风险控制委员会。</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（3）操作控制</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内部组织结构的设计方面，体现部门之间职责有分工，但部门之间又相互合作与制衡的原则。基金投资管理、基金运作、市场等业务部门有明确的授权分工，各部门的操作相互独立，并且有独立的报告系统。各业务部门之间相互核对、相互牵制。</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各业务部门内部工作岗位分工合理、职责明确，形成相互监督、相互制约的关系，以减少舞弊或差错发生的风险。</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在明确的岗位职责的基础上，设置科学、合理、标准化的业务操作流程；同时，规定完备的处理手续，保存完整的业务记录，制定严格的检查、复核标准。</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（4）信息与沟通</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公司建立了内部办公自动化信息系统与业务汇报体系，通过建立有效的信息交流渠道，保证公司员工及各级管理人员可以充分了解与其职责相关的信息，保证信息及时送达适当的人员进行处理。</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（5）监督与内部稽核</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公司设立了独立于各业务部门的合规法务部，履行内部稽核职能，检查、评价公司内部控制制度合理性、完备性和有效性，监督公司内部控制制度的执行情况，揭示公司内部管理及基金运作中的风险，及时提出改进意见，促进公司内部管理制度有效地执行。内部稽核人员具有相对的独立性，监察稽核报告提交全体董事审阅并存档备查。</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4、基金管理人关于内部控制制度的声明</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（1）基金管理人确知建立、实施和维持内部控制制度是基金管理人董事会及管理层的责任；</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（2）上述关于内部控制制度的披露真实、准确；</w:t>
      </w:r>
    </w:p>
    <w:p w:rsidR="004D1858" w:rsidRDefault="004D1858" w:rsidP="004D1858">
      <w:pPr>
        <w:adjustRightInd w:val="0"/>
        <w:snapToGrid w:val="0"/>
        <w:spacing w:line="360" w:lineRule="auto"/>
        <w:ind w:firstLineChars="200" w:firstLine="420"/>
        <w:rPr>
          <w:rFonts w:ascii="宋体" w:hAnsi="宋体"/>
          <w:color w:val="000000"/>
        </w:rPr>
      </w:pPr>
      <w:r>
        <w:rPr>
          <w:rFonts w:ascii="宋体" w:hAnsi="宋体" w:hint="eastAsia"/>
          <w:color w:val="000000"/>
        </w:rPr>
        <w:t>（3）基金管理人承诺将根据市场环境的变化及基金管理人的发展不断完善内部控制制度。</w:t>
      </w:r>
    </w:p>
    <w:p w:rsidR="00822B64" w:rsidRPr="004D1858" w:rsidRDefault="00822B64" w:rsidP="004D1858">
      <w:pPr>
        <w:adjustRightInd w:val="0"/>
        <w:snapToGrid w:val="0"/>
        <w:spacing w:line="360" w:lineRule="auto"/>
        <w:rPr>
          <w:rFonts w:ascii="宋体" w:hAnsi="宋体"/>
        </w:rPr>
      </w:pPr>
    </w:p>
    <w:p w:rsidR="00822B64" w:rsidRDefault="00E92BF7">
      <w:pPr>
        <w:snapToGrid w:val="0"/>
        <w:spacing w:line="360" w:lineRule="auto"/>
        <w:ind w:firstLine="450"/>
        <w:rPr>
          <w:rFonts w:ascii="宋体" w:hAnsi="宋体"/>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9" w:name="_Toc362455181"/>
      <w:bookmarkStart w:id="40" w:name="_Toc362533453"/>
      <w:bookmarkStart w:id="41" w:name="_Toc360794406"/>
      <w:bookmarkStart w:id="42" w:name="_Toc360793496"/>
      <w:bookmarkStart w:id="43" w:name="_Toc360793848"/>
      <w:bookmarkStart w:id="44" w:name="_Toc360794098"/>
      <w:bookmarkStart w:id="45" w:name="_Toc360794514"/>
      <w:bookmarkStart w:id="46" w:name="_Toc48808882"/>
      <w:r>
        <w:rPr>
          <w:rFonts w:ascii="宋体" w:eastAsia="宋体" w:hAnsi="宋体" w:hint="eastAsia"/>
        </w:rPr>
        <w:lastRenderedPageBreak/>
        <w:t>基金托管人</w:t>
      </w:r>
      <w:bookmarkEnd w:id="39"/>
      <w:bookmarkEnd w:id="40"/>
      <w:bookmarkEnd w:id="41"/>
      <w:bookmarkEnd w:id="42"/>
      <w:bookmarkEnd w:id="43"/>
      <w:bookmarkEnd w:id="44"/>
      <w:bookmarkEnd w:id="45"/>
      <w:bookmarkEnd w:id="46"/>
    </w:p>
    <w:p w:rsidR="00822B64" w:rsidRPr="00806B6F" w:rsidRDefault="00822B64">
      <w:pPr>
        <w:tabs>
          <w:tab w:val="left" w:pos="2160"/>
        </w:tabs>
        <w:adjustRightInd w:val="0"/>
        <w:snapToGrid w:val="0"/>
        <w:spacing w:line="360" w:lineRule="auto"/>
        <w:ind w:firstLineChars="200" w:firstLine="360"/>
        <w:rPr>
          <w:rFonts w:ascii="宋体" w:hAnsi="宋体"/>
          <w:sz w:val="18"/>
        </w:rPr>
      </w:pPr>
    </w:p>
    <w:p w:rsidR="00806B6F" w:rsidRPr="00806B6F" w:rsidRDefault="00806B6F" w:rsidP="00806B6F">
      <w:pPr>
        <w:adjustRightInd w:val="0"/>
        <w:snapToGrid w:val="0"/>
        <w:spacing w:line="360" w:lineRule="auto"/>
        <w:ind w:firstLineChars="200" w:firstLine="422"/>
        <w:rPr>
          <w:rFonts w:asciiTheme="minorEastAsia" w:eastAsiaTheme="minorEastAsia" w:hAnsiTheme="minorEastAsia" w:cstheme="minorEastAsia"/>
          <w:b/>
        </w:rPr>
      </w:pPr>
      <w:r w:rsidRPr="00806B6F">
        <w:rPr>
          <w:rFonts w:asciiTheme="minorEastAsia" w:eastAsiaTheme="minorEastAsia" w:hAnsiTheme="minorEastAsia" w:cstheme="minorEastAsia" w:hint="eastAsia"/>
          <w:b/>
        </w:rPr>
        <w:t>一、基金托管人基本情况</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rPr>
        <w:t>1、基本情况</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名称：兴业银行股份有限公司</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注册地址：福建省福州市台江区江滨中大道</w:t>
      </w:r>
      <w:r w:rsidRPr="00806B6F">
        <w:rPr>
          <w:rFonts w:asciiTheme="minorEastAsia" w:eastAsiaTheme="minorEastAsia" w:hAnsiTheme="minorEastAsia" w:cstheme="minorEastAsia"/>
        </w:rPr>
        <w:t>398号兴业银行大厦</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办公地址：上海市银城路</w:t>
      </w:r>
      <w:r w:rsidRPr="00806B6F">
        <w:rPr>
          <w:rFonts w:asciiTheme="minorEastAsia" w:eastAsiaTheme="minorEastAsia" w:hAnsiTheme="minorEastAsia" w:cstheme="minorEastAsia"/>
        </w:rPr>
        <w:t>167号</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邮政编码：</w:t>
      </w:r>
      <w:r w:rsidRPr="00806B6F">
        <w:rPr>
          <w:rFonts w:asciiTheme="minorEastAsia" w:eastAsiaTheme="minorEastAsia" w:hAnsiTheme="minorEastAsia" w:cstheme="minorEastAsia"/>
        </w:rPr>
        <w:t>200120</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法定代表人：吕家进</w:t>
      </w:r>
      <w:r w:rsidRPr="00806B6F">
        <w:rPr>
          <w:rFonts w:asciiTheme="minorEastAsia" w:eastAsiaTheme="minorEastAsia" w:hAnsiTheme="minorEastAsia" w:cstheme="minorEastAsia"/>
        </w:rPr>
        <w:t xml:space="preserve"> </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成立日期：</w:t>
      </w:r>
      <w:r w:rsidRPr="00806B6F">
        <w:rPr>
          <w:rFonts w:asciiTheme="minorEastAsia" w:eastAsiaTheme="minorEastAsia" w:hAnsiTheme="minorEastAsia" w:cstheme="minorEastAsia"/>
        </w:rPr>
        <w:t>1988年8月22日</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批准设立机关和批准设立文号：中国人民银行总行，银复</w:t>
      </w:r>
      <w:r w:rsidRPr="00806B6F">
        <w:rPr>
          <w:rFonts w:asciiTheme="minorEastAsia" w:eastAsiaTheme="minorEastAsia" w:hAnsiTheme="minorEastAsia" w:cstheme="minorEastAsia"/>
        </w:rPr>
        <w:t>[1988]347号</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基金托管业务批准文号：中国证监会证监基金字</w:t>
      </w:r>
      <w:r w:rsidRPr="00806B6F">
        <w:rPr>
          <w:rFonts w:asciiTheme="minorEastAsia" w:eastAsiaTheme="minorEastAsia" w:hAnsiTheme="minorEastAsia" w:cstheme="minorEastAsia"/>
        </w:rPr>
        <w:t>[2005]74号</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组织形式：股份有限公司</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注册资本：</w:t>
      </w:r>
      <w:r w:rsidRPr="00806B6F">
        <w:rPr>
          <w:rFonts w:asciiTheme="minorEastAsia" w:eastAsiaTheme="minorEastAsia" w:hAnsiTheme="minorEastAsia" w:cstheme="minorEastAsia"/>
        </w:rPr>
        <w:t>207.74亿元人民币</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存续期间：持续经营</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rPr>
        <w:t>2、发展概况及财务状况</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兴业银行成立于</w:t>
      </w:r>
      <w:r w:rsidRPr="00806B6F">
        <w:rPr>
          <w:rFonts w:asciiTheme="minorEastAsia" w:eastAsiaTheme="minorEastAsia" w:hAnsiTheme="minorEastAsia" w:cstheme="minorEastAsia"/>
        </w:rPr>
        <w:t>1988年8月，是经国务院、中国人民银行批准成立的首批股份制商业银行之一，总行设在福建省福州市，2007年2月5日正式在上海证券交易所挂牌上市（股票代码：601166），注册资本207.74亿元。</w:t>
      </w:r>
      <w:r w:rsidRPr="00806B6F">
        <w:rPr>
          <w:rFonts w:asciiTheme="minorEastAsia" w:eastAsiaTheme="minorEastAsia" w:hAnsiTheme="minorEastAsia" w:cstheme="minorEastAsia" w:hint="eastAsia"/>
        </w:rPr>
        <w:t>截至</w:t>
      </w:r>
      <w:r w:rsidRPr="00806B6F">
        <w:rPr>
          <w:rFonts w:asciiTheme="minorEastAsia" w:eastAsiaTheme="minorEastAsia" w:hAnsiTheme="minorEastAsia" w:cstheme="minorEastAsia"/>
        </w:rPr>
        <w:t>2021年12月31日，兴业银行资产总额达8.60万亿元，实现营业收入2212.36亿元，同比增长8.91%，全年实现归属于母公司股东的净利润826.80亿元。</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开业三十多年来，兴业银行始终坚持“真诚服务，相伴成长”的经营理念，致力于为客户提供全面、优质、高效的金融服务。</w:t>
      </w:r>
    </w:p>
    <w:p w:rsidR="00806B6F" w:rsidRPr="00806B6F" w:rsidRDefault="00806B6F" w:rsidP="00806B6F">
      <w:pPr>
        <w:adjustRightInd w:val="0"/>
        <w:snapToGrid w:val="0"/>
        <w:spacing w:line="360" w:lineRule="auto"/>
        <w:ind w:firstLineChars="200" w:firstLine="422"/>
        <w:rPr>
          <w:rFonts w:asciiTheme="minorEastAsia" w:eastAsiaTheme="minorEastAsia" w:hAnsiTheme="minorEastAsia" w:cstheme="minorEastAsia"/>
          <w:b/>
        </w:rPr>
      </w:pPr>
      <w:r w:rsidRPr="00806B6F">
        <w:rPr>
          <w:rFonts w:asciiTheme="minorEastAsia" w:eastAsiaTheme="minorEastAsia" w:hAnsiTheme="minorEastAsia" w:cstheme="minorEastAsia" w:hint="eastAsia"/>
          <w:b/>
        </w:rPr>
        <w:t>二、托管业务部部门设置及员工情况</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rPr>
        <w:t>兴业银行股份有限公司总行设资产托管部，下设综合管理处、基金证券业务处、信托保险业务处、理财私募业务处、产品管理处、稽核监察处、投资监督管理处、运行管理处等处室，共有员工</w:t>
      </w:r>
      <w:r w:rsidRPr="00806B6F">
        <w:rPr>
          <w:rFonts w:asciiTheme="minorEastAsia" w:eastAsiaTheme="minorEastAsia" w:hAnsiTheme="minorEastAsia" w:cstheme="minorEastAsia"/>
        </w:rPr>
        <w:t>100余人，业务岗位人员均具有基金从业资格。</w:t>
      </w:r>
    </w:p>
    <w:p w:rsidR="00806B6F" w:rsidRPr="00806B6F" w:rsidRDefault="00806B6F" w:rsidP="00806B6F">
      <w:pPr>
        <w:adjustRightInd w:val="0"/>
        <w:snapToGrid w:val="0"/>
        <w:spacing w:line="360" w:lineRule="auto"/>
        <w:ind w:firstLineChars="200" w:firstLine="422"/>
        <w:rPr>
          <w:rFonts w:asciiTheme="minorEastAsia" w:eastAsiaTheme="minorEastAsia" w:hAnsiTheme="minorEastAsia" w:cstheme="minorEastAsia"/>
          <w:b/>
          <w:bCs/>
        </w:rPr>
      </w:pPr>
      <w:r w:rsidRPr="00806B6F">
        <w:rPr>
          <w:rFonts w:asciiTheme="minorEastAsia" w:eastAsiaTheme="minorEastAsia" w:hAnsiTheme="minorEastAsia" w:cstheme="minorEastAsia" w:hint="eastAsia"/>
          <w:b/>
          <w:bCs/>
        </w:rPr>
        <w:t>三、</w:t>
      </w:r>
      <w:r w:rsidRPr="00806B6F">
        <w:rPr>
          <w:rFonts w:asciiTheme="minorEastAsia" w:eastAsiaTheme="minorEastAsia" w:hAnsiTheme="minorEastAsia" w:cstheme="minorEastAsia"/>
          <w:b/>
          <w:bCs/>
        </w:rPr>
        <w:t>基金托管业务经营情况</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rPr>
      </w:pPr>
      <w:r w:rsidRPr="00806B6F">
        <w:rPr>
          <w:rFonts w:asciiTheme="minorEastAsia" w:eastAsiaTheme="minorEastAsia" w:hAnsiTheme="minorEastAsia" w:cstheme="minorEastAsia" w:hint="eastAsia"/>
          <w:bCs/>
        </w:rPr>
        <w:t>兴业银行股份有限公司于</w:t>
      </w:r>
      <w:r w:rsidRPr="00806B6F">
        <w:rPr>
          <w:rFonts w:asciiTheme="minorEastAsia" w:eastAsiaTheme="minorEastAsia" w:hAnsiTheme="minorEastAsia" w:cstheme="minorEastAsia"/>
          <w:bCs/>
        </w:rPr>
        <w:t>2005年4月26日取得基金托管资格。基金托管业务批准文号：证监基金字[2005]74号。</w:t>
      </w:r>
      <w:r w:rsidRPr="00806B6F">
        <w:rPr>
          <w:rFonts w:asciiTheme="minorEastAsia" w:eastAsiaTheme="minorEastAsia" w:hAnsiTheme="minorEastAsia" w:cstheme="minorEastAsia" w:hint="eastAsia"/>
        </w:rPr>
        <w:t>截至</w:t>
      </w:r>
      <w:r w:rsidRPr="00806B6F">
        <w:rPr>
          <w:rFonts w:asciiTheme="minorEastAsia" w:eastAsiaTheme="minorEastAsia" w:hAnsiTheme="minorEastAsia" w:cstheme="minorEastAsia"/>
        </w:rPr>
        <w:t>2022</w:t>
      </w:r>
      <w:r w:rsidRPr="00806B6F">
        <w:rPr>
          <w:rFonts w:asciiTheme="minorEastAsia" w:eastAsiaTheme="minorEastAsia" w:hAnsiTheme="minorEastAsia" w:cstheme="minorEastAsia" w:hint="eastAsia"/>
        </w:rPr>
        <w:t>年</w:t>
      </w:r>
      <w:r w:rsidRPr="00806B6F">
        <w:rPr>
          <w:rFonts w:asciiTheme="minorEastAsia" w:eastAsiaTheme="minorEastAsia" w:hAnsiTheme="minorEastAsia" w:cstheme="minorEastAsia"/>
        </w:rPr>
        <w:t>9</w:t>
      </w:r>
      <w:r w:rsidRPr="00806B6F">
        <w:rPr>
          <w:rFonts w:asciiTheme="minorEastAsia" w:eastAsiaTheme="minorEastAsia" w:hAnsiTheme="minorEastAsia" w:cstheme="minorEastAsia" w:hint="eastAsia"/>
        </w:rPr>
        <w:t>月</w:t>
      </w:r>
      <w:r w:rsidRPr="00806B6F">
        <w:rPr>
          <w:rFonts w:asciiTheme="minorEastAsia" w:eastAsiaTheme="minorEastAsia" w:hAnsiTheme="minorEastAsia" w:cstheme="minorEastAsia"/>
        </w:rPr>
        <w:t>30</w:t>
      </w:r>
      <w:r w:rsidRPr="00806B6F">
        <w:rPr>
          <w:rFonts w:asciiTheme="minorEastAsia" w:eastAsiaTheme="minorEastAsia" w:hAnsiTheme="minorEastAsia" w:cstheme="minorEastAsia" w:hint="eastAsia"/>
        </w:rPr>
        <w:t>日，兴业银行共托管证券投资基金</w:t>
      </w:r>
      <w:r w:rsidRPr="00806B6F">
        <w:rPr>
          <w:rFonts w:asciiTheme="minorEastAsia" w:eastAsiaTheme="minorEastAsia" w:hAnsiTheme="minorEastAsia" w:cstheme="minorEastAsia"/>
        </w:rPr>
        <w:t>617</w:t>
      </w:r>
      <w:r w:rsidRPr="00806B6F">
        <w:rPr>
          <w:rFonts w:asciiTheme="minorEastAsia" w:eastAsiaTheme="minorEastAsia" w:hAnsiTheme="minorEastAsia" w:cstheme="minorEastAsia" w:hint="eastAsia"/>
        </w:rPr>
        <w:t>只，托管基金的基金资产净值合计</w:t>
      </w:r>
      <w:r w:rsidRPr="00806B6F">
        <w:rPr>
          <w:rFonts w:asciiTheme="minorEastAsia" w:eastAsiaTheme="minorEastAsia" w:hAnsiTheme="minorEastAsia" w:cstheme="minorEastAsia"/>
        </w:rPr>
        <w:t>24055.27</w:t>
      </w:r>
      <w:r w:rsidRPr="00806B6F">
        <w:rPr>
          <w:rFonts w:asciiTheme="minorEastAsia" w:eastAsiaTheme="minorEastAsia" w:hAnsiTheme="minorEastAsia" w:cstheme="minorEastAsia" w:hint="eastAsia"/>
        </w:rPr>
        <w:t>亿元，基金份额合计</w:t>
      </w:r>
      <w:r w:rsidRPr="00806B6F">
        <w:rPr>
          <w:rFonts w:asciiTheme="minorEastAsia" w:eastAsiaTheme="minorEastAsia" w:hAnsiTheme="minorEastAsia" w:cstheme="minorEastAsia"/>
        </w:rPr>
        <w:t>23181.41</w:t>
      </w:r>
      <w:r w:rsidRPr="00806B6F">
        <w:rPr>
          <w:rFonts w:asciiTheme="minorEastAsia" w:eastAsiaTheme="minorEastAsia" w:hAnsiTheme="minorEastAsia" w:cstheme="minorEastAsia" w:hint="eastAsia"/>
        </w:rPr>
        <w:t>亿份。</w:t>
      </w:r>
    </w:p>
    <w:p w:rsidR="00806B6F" w:rsidRPr="00806B6F" w:rsidRDefault="00806B6F" w:rsidP="00806B6F">
      <w:pPr>
        <w:adjustRightInd w:val="0"/>
        <w:snapToGrid w:val="0"/>
        <w:spacing w:line="360" w:lineRule="auto"/>
        <w:ind w:firstLineChars="200" w:firstLine="422"/>
        <w:rPr>
          <w:rFonts w:asciiTheme="minorEastAsia" w:eastAsiaTheme="minorEastAsia" w:hAnsiTheme="minorEastAsia" w:cstheme="minorEastAsia"/>
          <w:b/>
        </w:rPr>
      </w:pPr>
      <w:r w:rsidRPr="00806B6F">
        <w:rPr>
          <w:rFonts w:asciiTheme="minorEastAsia" w:eastAsiaTheme="minorEastAsia" w:hAnsiTheme="minorEastAsia" w:cstheme="minorEastAsia" w:hint="eastAsia"/>
          <w:b/>
        </w:rPr>
        <w:t>四、基金托管人的内部控制制度</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（一）内部控制目标</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lastRenderedPageBreak/>
        <w:t>严格遵守国家有关托管业务的法律法规、行业监管规章和行内有关管理规定，守法经营、规范运作、严格监察，确保业务的稳健运行，保证基金资产的安全完整，确保有关信息的真实、准确、完整、及时，保护基金份额持有人的合法权益。</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（二）内部控制组织结构</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兴业银行基金托管业务内部控制组织架构由总行内部控制委员会、总行风险管理部门、总行审计部、总行资产托管部、总行运营管理部及分行托管运营机构共同组成。各级内部控制组织依照本行相关制度对本行托管业务风险管理和内部控制实施管理。</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（三）内部控制原则</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1、全面性原则：内部控制贯穿资产托管业务的全过程，覆盖各项业务和产品，以及从事资产托管业务的各机构和从业人员；</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2、重要性原则：内部控制应当在全面控制的基础上，关注重要业务事项和高风险领域；</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3、独立性原则：开展托管业务的部门和岗位的设置应权责分明、相对独立、相互制衡；</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4、审慎性原则：内控与风险管理必须以防范风险，保证托管资产的安全与完整为出发点，“内控优先”，“制度优先”，审慎发展资产托管业务；</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5、制衡性原则：内部控制应当在治理结构、机构设置及权责分配、业务流程等方面形成相互制约、相互监督，同时兼顾运营效率；</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6、适应性原则：内部控制体系应同所处的环境相适应，以合理的成本实现内控目标，内部制度的制订应当具有前瞻性，并应当根据国家政策、法律及经营管理的需要，适时进行相应修改和完善；内部控制存在的问题应当能够得到及时反馈和纠正；</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7、成本效益原则：内部控制应当权衡实施成本与预期效益，以适当的成本实现有效控制。</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（四）内部控制制度及措施</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1、制度建设：建立了明确的岗位职责、科学的业务流程、详细的操作手册、严格的人员行为规范等一系列规章制度。</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2、建立健全的组织管理结构：前后台分离，不同部门、岗位相互牵制。</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3、风险识别与评估：稽核监察处指导业务处室进行风险识别、评估，制定并实施风险控制措施。</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4、相对独立的业务操作空间：业务操作区相对独立，实施门禁管理和音像监控。</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bCs/>
        </w:rPr>
        <w:t>5、人员管理：进行定期的业务与职业道德培训，使员工树立风险防范与控制理念，并签订承诺书。</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
        </w:rPr>
      </w:pPr>
      <w:r w:rsidRPr="00806B6F">
        <w:rPr>
          <w:rFonts w:asciiTheme="minorEastAsia" w:eastAsiaTheme="minorEastAsia" w:hAnsiTheme="minorEastAsia" w:cstheme="minorEastAsia"/>
          <w:bCs/>
        </w:rPr>
        <w:t>6、应急预案：制定完备的《应急预案》，并组织员工定期演练；建立异地灾备中心，保证业务不中断。</w:t>
      </w:r>
    </w:p>
    <w:p w:rsidR="00806B6F" w:rsidRPr="00806B6F" w:rsidRDefault="00806B6F" w:rsidP="00806B6F">
      <w:pPr>
        <w:adjustRightInd w:val="0"/>
        <w:snapToGrid w:val="0"/>
        <w:spacing w:line="360" w:lineRule="auto"/>
        <w:ind w:firstLineChars="200" w:firstLine="422"/>
        <w:rPr>
          <w:rFonts w:asciiTheme="minorEastAsia" w:eastAsiaTheme="minorEastAsia" w:hAnsiTheme="minorEastAsia" w:cstheme="minorEastAsia"/>
          <w:b/>
        </w:rPr>
      </w:pPr>
      <w:r w:rsidRPr="00806B6F">
        <w:rPr>
          <w:rFonts w:asciiTheme="minorEastAsia" w:eastAsiaTheme="minorEastAsia" w:hAnsiTheme="minorEastAsia" w:cstheme="minorEastAsia" w:hint="eastAsia"/>
          <w:b/>
        </w:rPr>
        <w:t>五、基金托管人对基金管理人运作基金进行监督的方法和程序</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基金托管人负有对基金管理人的投资运作行使监督权的职责。根据《基金法》、《运作</w:t>
      </w:r>
      <w:r w:rsidRPr="00806B6F">
        <w:rPr>
          <w:rFonts w:asciiTheme="minorEastAsia" w:eastAsiaTheme="minorEastAsia" w:hAnsiTheme="minorEastAsia" w:cstheme="minorEastAsia" w:hint="eastAsia"/>
          <w:bCs/>
        </w:rPr>
        <w:lastRenderedPageBreak/>
        <w:t>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基金托管人发现基金管理人有重大违规行为，立即报告中国证监会，同时，通知基金管理人限期纠正，并将纠正结果报告中国证监会。</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基金托管人发现基金管理人的指令违反法律、行政法规和其他有关规定，或者违反基金合同约定的，应当拒绝执行，立即通知基金管理人，并及时向中国证监会报告。</w:t>
      </w:r>
    </w:p>
    <w:p w:rsidR="00806B6F" w:rsidRPr="00806B6F" w:rsidRDefault="00806B6F" w:rsidP="00806B6F">
      <w:pPr>
        <w:adjustRightInd w:val="0"/>
        <w:snapToGrid w:val="0"/>
        <w:spacing w:line="360" w:lineRule="auto"/>
        <w:ind w:firstLineChars="200" w:firstLine="420"/>
        <w:rPr>
          <w:rFonts w:asciiTheme="minorEastAsia" w:eastAsiaTheme="minorEastAsia" w:hAnsiTheme="minorEastAsia" w:cstheme="minorEastAsia"/>
          <w:bCs/>
        </w:rPr>
      </w:pPr>
      <w:r w:rsidRPr="00806B6F">
        <w:rPr>
          <w:rFonts w:asciiTheme="minorEastAsia" w:eastAsiaTheme="minorEastAsia" w:hAnsiTheme="minorEastAsia" w:cstheme="minorEastAsia" w:hint="eastAsia"/>
          <w:bCs/>
        </w:rPr>
        <w:t>基金托管人发现基金管理人依据交易程序已经生效的投资指令违反法律、行政法规和其他有关规定，或者违反基金合同约定的，应当立即通知基金管理人，并及时向中国证监会报告。</w:t>
      </w:r>
    </w:p>
    <w:p w:rsidR="00822B64" w:rsidRDefault="00E92BF7">
      <w:pPr>
        <w:tabs>
          <w:tab w:val="left" w:pos="2160"/>
        </w:tabs>
        <w:adjustRightInd w:val="0"/>
        <w:snapToGrid w:val="0"/>
        <w:spacing w:line="360" w:lineRule="auto"/>
        <w:ind w:firstLineChars="200" w:firstLine="420"/>
        <w:rPr>
          <w:rFonts w:ascii="宋体" w:hAnsi="宋体"/>
          <w:kern w:val="0"/>
        </w:rPr>
      </w:pPr>
      <w:r>
        <w:rPr>
          <w:rFonts w:ascii="宋体" w:hAnsi="宋体"/>
          <w:kern w:val="0"/>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47" w:name="_Toc362533454"/>
      <w:bookmarkStart w:id="48" w:name="_Toc360794515"/>
      <w:bookmarkStart w:id="49" w:name="_Toc360793849"/>
      <w:bookmarkStart w:id="50" w:name="_Toc360794099"/>
      <w:bookmarkStart w:id="51" w:name="_Toc362455182"/>
      <w:bookmarkStart w:id="52" w:name="_Toc48808883"/>
      <w:bookmarkStart w:id="53" w:name="_Toc360793497"/>
      <w:bookmarkStart w:id="54" w:name="_Toc360794407"/>
      <w:r>
        <w:rPr>
          <w:rFonts w:ascii="宋体" w:eastAsia="宋体" w:hAnsi="宋体" w:hint="eastAsia"/>
        </w:rPr>
        <w:lastRenderedPageBreak/>
        <w:t>相关服务机构</w:t>
      </w:r>
      <w:bookmarkEnd w:id="47"/>
      <w:bookmarkEnd w:id="48"/>
      <w:bookmarkEnd w:id="49"/>
      <w:bookmarkEnd w:id="50"/>
      <w:bookmarkEnd w:id="51"/>
      <w:bookmarkEnd w:id="52"/>
      <w:bookmarkEnd w:id="53"/>
      <w:bookmarkEnd w:id="54"/>
    </w:p>
    <w:p w:rsidR="00822B64" w:rsidRDefault="00822B64">
      <w:pPr>
        <w:autoSpaceDE w:val="0"/>
        <w:autoSpaceDN w:val="0"/>
        <w:adjustRightInd w:val="0"/>
        <w:snapToGrid w:val="0"/>
        <w:spacing w:line="360" w:lineRule="auto"/>
        <w:ind w:firstLine="420"/>
        <w:rPr>
          <w:rFonts w:ascii="宋体" w:hAnsi="宋体"/>
          <w:b/>
          <w:bCs/>
          <w:kern w:val="0"/>
          <w:szCs w:val="20"/>
        </w:rPr>
      </w:pPr>
    </w:p>
    <w:p w:rsidR="00822B64" w:rsidRDefault="00E92BF7">
      <w:pPr>
        <w:autoSpaceDE w:val="0"/>
        <w:autoSpaceDN w:val="0"/>
        <w:adjustRightInd w:val="0"/>
        <w:snapToGrid w:val="0"/>
        <w:spacing w:line="360" w:lineRule="auto"/>
        <w:ind w:firstLine="420"/>
        <w:rPr>
          <w:rFonts w:ascii="宋体" w:hAnsi="宋体"/>
          <w:b/>
          <w:bCs/>
          <w:kern w:val="0"/>
          <w:szCs w:val="20"/>
        </w:rPr>
      </w:pPr>
      <w:r>
        <w:rPr>
          <w:rFonts w:ascii="宋体" w:hAnsi="宋体" w:hint="eastAsia"/>
          <w:b/>
          <w:bCs/>
          <w:kern w:val="0"/>
          <w:szCs w:val="20"/>
        </w:rPr>
        <w:t>一、销售机构</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1、直销机构</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东海基金管理有限责任公司直销中心</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住所：上海市虹口区丰镇路806号3幢360室</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办公地址：上海市浦东新区世纪大道1528号陆家嘴基金大厦15楼</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法定代表人：严晓珺</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电话：021-60584533 </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传真：（021）60586926</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联系人：耿慰康</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客户服务电话：400-9595531（免长途话费） </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网址：www.donghaifunds.com</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2、其他销售机构</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（1）江苏汇林保大基金销售有限公司</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注册地址：南京市高淳区经济开发区古檀大道47号</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办公地址：南京市鼓楼区中山北路2号绿地紫峰大厦2005室</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法定代表人：吴言林</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电话：025-66046166转849  </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传真：025-56878016  </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网址：http://www.huilinbd.com</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（2）上海天天基金销售有限公司</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住所：上海市徐汇区龙田路190号2号楼</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办公地址：上海市徐汇区宛平南路88号东方财富大厦</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法定代表人：其实</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联系人：王超</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电话：021-54509988</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传真：021-64385308</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客服电话：400-1818-188</w:t>
      </w:r>
    </w:p>
    <w:p w:rsidR="00822B64" w:rsidRDefault="00E92BF7">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网址：www.1234567.com.cn</w:t>
      </w:r>
    </w:p>
    <w:p w:rsidR="00822B64" w:rsidRDefault="00822B64">
      <w:pPr>
        <w:snapToGrid w:val="0"/>
        <w:spacing w:line="360" w:lineRule="auto"/>
        <w:rPr>
          <w:rFonts w:ascii="宋体" w:hAnsi="宋体"/>
        </w:rPr>
      </w:pPr>
    </w:p>
    <w:p w:rsidR="00822B64" w:rsidRDefault="00E92BF7">
      <w:pPr>
        <w:autoSpaceDE w:val="0"/>
        <w:autoSpaceDN w:val="0"/>
        <w:adjustRightInd w:val="0"/>
        <w:snapToGrid w:val="0"/>
        <w:spacing w:line="360" w:lineRule="auto"/>
        <w:rPr>
          <w:rFonts w:ascii="宋体" w:hAnsi="宋体"/>
          <w:b/>
          <w:bCs/>
          <w:kern w:val="0"/>
          <w:szCs w:val="20"/>
        </w:rPr>
      </w:pPr>
      <w:r>
        <w:rPr>
          <w:rFonts w:ascii="宋体" w:hAnsi="宋体" w:hint="eastAsia"/>
          <w:b/>
          <w:bCs/>
          <w:kern w:val="0"/>
          <w:szCs w:val="20"/>
        </w:rPr>
        <w:t xml:space="preserve">    二、登记机构</w:t>
      </w:r>
    </w:p>
    <w:p w:rsidR="00822B64" w:rsidRDefault="00E92BF7">
      <w:pPr>
        <w:tabs>
          <w:tab w:val="left" w:pos="840"/>
        </w:tabs>
        <w:adjustRightInd w:val="0"/>
        <w:snapToGrid w:val="0"/>
        <w:spacing w:line="360" w:lineRule="auto"/>
        <w:ind w:firstLineChars="200" w:firstLine="420"/>
        <w:rPr>
          <w:rFonts w:ascii="宋体" w:hAnsi="宋体"/>
        </w:rPr>
      </w:pPr>
      <w:r>
        <w:rPr>
          <w:rFonts w:ascii="宋体" w:hAnsi="宋体"/>
        </w:rPr>
        <w:t>东海基金管理有限责任公司</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住所：上海市虹口区丰镇路806号3幢360室</w:t>
      </w:r>
    </w:p>
    <w:p w:rsidR="00822B64" w:rsidRDefault="00E92BF7">
      <w:pPr>
        <w:adjustRightInd w:val="0"/>
        <w:snapToGrid w:val="0"/>
        <w:spacing w:line="360" w:lineRule="auto"/>
        <w:ind w:firstLineChars="200" w:firstLine="420"/>
        <w:rPr>
          <w:rFonts w:ascii="宋体" w:hAnsi="宋体"/>
          <w:bCs/>
        </w:rPr>
      </w:pPr>
      <w:r>
        <w:rPr>
          <w:rFonts w:ascii="宋体" w:hAnsi="宋体"/>
          <w:bCs/>
        </w:rPr>
        <w:t>办公地址</w:t>
      </w:r>
      <w:r>
        <w:rPr>
          <w:rFonts w:ascii="宋体" w:hAnsi="宋体" w:hint="eastAsia"/>
          <w:bCs/>
        </w:rPr>
        <w:t>：上海市浦东新区世纪大道1</w:t>
      </w:r>
      <w:r>
        <w:rPr>
          <w:rFonts w:ascii="宋体" w:hAnsi="宋体"/>
          <w:bCs/>
        </w:rPr>
        <w:t>528</w:t>
      </w:r>
      <w:r>
        <w:rPr>
          <w:rFonts w:ascii="宋体" w:hAnsi="宋体" w:hint="eastAsia"/>
          <w:bCs/>
        </w:rPr>
        <w:t>号陆家嘴基金大厦1</w:t>
      </w:r>
      <w:r>
        <w:rPr>
          <w:rFonts w:ascii="宋体" w:hAnsi="宋体"/>
          <w:bCs/>
        </w:rPr>
        <w:t>5</w:t>
      </w:r>
      <w:r>
        <w:rPr>
          <w:rFonts w:ascii="宋体" w:hAnsi="宋体" w:hint="eastAsia"/>
          <w:bCs/>
        </w:rPr>
        <w:t>楼</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法定代表人：严晓珺</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组织形式：有限责任公司</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注册资本：1.5亿元人民币</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存续期限：持续经营</w:t>
      </w:r>
    </w:p>
    <w:p w:rsidR="00822B64" w:rsidRDefault="00E92BF7">
      <w:pPr>
        <w:adjustRightInd w:val="0"/>
        <w:snapToGrid w:val="0"/>
        <w:spacing w:line="360" w:lineRule="auto"/>
        <w:ind w:firstLineChars="200" w:firstLine="420"/>
        <w:rPr>
          <w:rFonts w:ascii="宋体" w:hAnsi="宋体"/>
          <w:bCs/>
        </w:rPr>
      </w:pPr>
      <w:r>
        <w:rPr>
          <w:rFonts w:ascii="宋体" w:hAnsi="宋体" w:hint="eastAsia"/>
          <w:bCs/>
        </w:rPr>
        <w:t>联系电话：021-60586900</w:t>
      </w:r>
    </w:p>
    <w:p w:rsidR="00822B64" w:rsidRDefault="00E92BF7">
      <w:pPr>
        <w:adjustRightInd w:val="0"/>
        <w:snapToGrid w:val="0"/>
        <w:spacing w:line="360" w:lineRule="auto"/>
        <w:ind w:firstLineChars="200" w:firstLine="420"/>
        <w:rPr>
          <w:rFonts w:ascii="宋体" w:hAnsi="宋体"/>
          <w:bCs/>
        </w:rPr>
      </w:pPr>
      <w:r>
        <w:rPr>
          <w:rFonts w:ascii="宋体" w:hAnsi="宋体"/>
          <w:bCs/>
        </w:rPr>
        <w:t>联系人</w:t>
      </w:r>
      <w:r>
        <w:rPr>
          <w:rFonts w:ascii="宋体" w:hAnsi="宋体" w:hint="eastAsia"/>
          <w:bCs/>
        </w:rPr>
        <w:t>：尤霄雯</w:t>
      </w:r>
    </w:p>
    <w:p w:rsidR="00822B64" w:rsidRDefault="00E92BF7">
      <w:pPr>
        <w:tabs>
          <w:tab w:val="left" w:pos="840"/>
        </w:tabs>
        <w:adjustRightInd w:val="0"/>
        <w:snapToGrid w:val="0"/>
        <w:spacing w:line="360" w:lineRule="auto"/>
        <w:ind w:firstLineChars="200" w:firstLine="420"/>
        <w:rPr>
          <w:rFonts w:ascii="宋体" w:hAnsi="宋体"/>
        </w:rPr>
      </w:pPr>
      <w:r>
        <w:rPr>
          <w:rFonts w:ascii="宋体" w:hAnsi="宋体"/>
        </w:rPr>
        <w:t xml:space="preserve"> </w:t>
      </w:r>
    </w:p>
    <w:p w:rsidR="00822B64" w:rsidRDefault="00E92BF7">
      <w:pPr>
        <w:tabs>
          <w:tab w:val="left" w:pos="840"/>
        </w:tabs>
        <w:adjustRightInd w:val="0"/>
        <w:snapToGrid w:val="0"/>
        <w:spacing w:line="360" w:lineRule="auto"/>
        <w:ind w:firstLineChars="200" w:firstLine="422"/>
        <w:rPr>
          <w:rFonts w:ascii="宋体" w:hAnsi="宋体"/>
          <w:b/>
          <w:bCs/>
        </w:rPr>
      </w:pPr>
      <w:r>
        <w:rPr>
          <w:rFonts w:ascii="宋体" w:hAnsi="宋体"/>
          <w:b/>
          <w:bCs/>
        </w:rPr>
        <w:t>三、</w:t>
      </w:r>
      <w:r>
        <w:rPr>
          <w:rFonts w:hint="eastAsia"/>
          <w:b/>
          <w:bCs/>
        </w:rPr>
        <w:t>出具法律意见书的律师事务所</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名称：上海市通力律师事务所</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注册地址：上海市银城中路</w:t>
      </w:r>
      <w:r>
        <w:rPr>
          <w:rFonts w:ascii="宋体" w:hAnsi="宋体"/>
          <w:bCs/>
          <w:szCs w:val="21"/>
        </w:rPr>
        <w:t>68</w:t>
      </w:r>
      <w:r>
        <w:rPr>
          <w:rFonts w:ascii="宋体" w:hAnsi="宋体" w:hint="eastAsia"/>
          <w:bCs/>
          <w:szCs w:val="21"/>
        </w:rPr>
        <w:t>号时代金融中心</w:t>
      </w:r>
      <w:r>
        <w:rPr>
          <w:rFonts w:ascii="宋体" w:hAnsi="宋体"/>
          <w:bCs/>
          <w:szCs w:val="21"/>
        </w:rPr>
        <w:t>19</w:t>
      </w:r>
      <w:r>
        <w:rPr>
          <w:rFonts w:ascii="宋体" w:hAnsi="宋体" w:hint="eastAsia"/>
          <w:bCs/>
          <w:szCs w:val="21"/>
        </w:rPr>
        <w:t>楼</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办公地址：上海市银城中路68号时代金融中心19楼</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负责人：韩炯</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联系人：丁媛</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电话</w:t>
      </w:r>
      <w:r>
        <w:rPr>
          <w:rFonts w:ascii="宋体" w:hAnsi="宋体"/>
          <w:bCs/>
          <w:szCs w:val="21"/>
        </w:rPr>
        <w:t>: (86 21) 3135 8666</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传真</w:t>
      </w:r>
      <w:r>
        <w:rPr>
          <w:rFonts w:ascii="宋体" w:hAnsi="宋体"/>
          <w:bCs/>
          <w:szCs w:val="21"/>
        </w:rPr>
        <w:t>: (86 21) 3135 8600</w:t>
      </w:r>
    </w:p>
    <w:p w:rsidR="00822B64" w:rsidRDefault="00E92BF7">
      <w:pPr>
        <w:tabs>
          <w:tab w:val="left" w:pos="840"/>
        </w:tabs>
        <w:adjustRightInd w:val="0"/>
        <w:snapToGrid w:val="0"/>
        <w:spacing w:line="360" w:lineRule="auto"/>
        <w:ind w:firstLineChars="200" w:firstLine="420"/>
        <w:rPr>
          <w:rFonts w:ascii="宋体" w:hAnsi="宋体"/>
          <w:bCs/>
          <w:szCs w:val="21"/>
        </w:rPr>
      </w:pPr>
      <w:r>
        <w:rPr>
          <w:rFonts w:ascii="宋体" w:hAnsi="宋体"/>
          <w:bCs/>
          <w:szCs w:val="21"/>
        </w:rPr>
        <w:t>经办律师：黎明、</w:t>
      </w:r>
      <w:r>
        <w:rPr>
          <w:rFonts w:ascii="宋体" w:hAnsi="宋体" w:hint="eastAsia"/>
          <w:bCs/>
          <w:szCs w:val="21"/>
        </w:rPr>
        <w:t>丁媛</w:t>
      </w:r>
    </w:p>
    <w:p w:rsidR="00822B64" w:rsidRDefault="00822B64">
      <w:pPr>
        <w:tabs>
          <w:tab w:val="left" w:pos="840"/>
        </w:tabs>
        <w:adjustRightInd w:val="0"/>
        <w:snapToGrid w:val="0"/>
        <w:spacing w:line="360" w:lineRule="auto"/>
        <w:ind w:firstLineChars="200" w:firstLine="420"/>
        <w:rPr>
          <w:rFonts w:ascii="宋体" w:hAnsi="宋体"/>
        </w:rPr>
      </w:pPr>
    </w:p>
    <w:p w:rsidR="00822B64" w:rsidRDefault="00E92BF7">
      <w:pPr>
        <w:autoSpaceDE w:val="0"/>
        <w:autoSpaceDN w:val="0"/>
        <w:adjustRightInd w:val="0"/>
        <w:snapToGrid w:val="0"/>
        <w:spacing w:line="360" w:lineRule="auto"/>
        <w:rPr>
          <w:rFonts w:ascii="宋体" w:hAnsi="宋体"/>
          <w:b/>
          <w:bCs/>
          <w:kern w:val="0"/>
          <w:szCs w:val="20"/>
        </w:rPr>
      </w:pPr>
      <w:r>
        <w:rPr>
          <w:rFonts w:ascii="宋体" w:hAnsi="宋体"/>
          <w:b/>
          <w:bCs/>
          <w:kern w:val="0"/>
          <w:szCs w:val="20"/>
        </w:rPr>
        <w:t xml:space="preserve">    四、</w:t>
      </w:r>
      <w:r>
        <w:rPr>
          <w:rFonts w:ascii="宋体" w:hAnsi="宋体"/>
          <w:b/>
          <w:szCs w:val="21"/>
        </w:rPr>
        <w:t>审计基金财产的会计师事务所</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名称：天职国际会计师事务所（特殊普通合伙）</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首席合伙人：邱靖之</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住所：北京市海淀区车公庄西路1</w:t>
      </w:r>
      <w:r>
        <w:rPr>
          <w:rFonts w:ascii="宋体" w:hAnsi="宋体"/>
          <w:bCs/>
          <w:color w:val="000000"/>
        </w:rPr>
        <w:t>9</w:t>
      </w:r>
      <w:r>
        <w:rPr>
          <w:rFonts w:ascii="宋体" w:hAnsi="宋体" w:hint="eastAsia"/>
          <w:bCs/>
          <w:color w:val="000000"/>
        </w:rPr>
        <w:t>号6</w:t>
      </w:r>
      <w:r>
        <w:rPr>
          <w:rFonts w:ascii="宋体" w:hAnsi="宋体"/>
          <w:bCs/>
          <w:color w:val="000000"/>
        </w:rPr>
        <w:t>8</w:t>
      </w:r>
      <w:r>
        <w:rPr>
          <w:rFonts w:ascii="宋体" w:hAnsi="宋体" w:hint="eastAsia"/>
          <w:bCs/>
          <w:color w:val="000000"/>
        </w:rPr>
        <w:t>号楼A</w:t>
      </w:r>
      <w:r>
        <w:rPr>
          <w:rFonts w:ascii="宋体" w:hAnsi="宋体"/>
          <w:bCs/>
          <w:color w:val="000000"/>
        </w:rPr>
        <w:t>-1</w:t>
      </w:r>
      <w:r>
        <w:rPr>
          <w:rFonts w:ascii="宋体" w:hAnsi="宋体" w:hint="eastAsia"/>
          <w:bCs/>
          <w:color w:val="000000"/>
        </w:rPr>
        <w:t>和A</w:t>
      </w:r>
      <w:r>
        <w:rPr>
          <w:rFonts w:ascii="宋体" w:hAnsi="宋体"/>
          <w:bCs/>
          <w:color w:val="000000"/>
        </w:rPr>
        <w:t>-5</w:t>
      </w:r>
      <w:r>
        <w:rPr>
          <w:rFonts w:ascii="宋体" w:hAnsi="宋体" w:hint="eastAsia"/>
          <w:bCs/>
          <w:color w:val="000000"/>
        </w:rPr>
        <w:t>区域</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办公地址：北京市海淀区车公庄西路19号68号楼A-1和A-5区域</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邮政编码：100</w:t>
      </w:r>
      <w:r>
        <w:rPr>
          <w:rFonts w:ascii="宋体" w:hAnsi="宋体"/>
          <w:bCs/>
          <w:color w:val="000000"/>
        </w:rPr>
        <w:t>048</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公司电话：（010）8</w:t>
      </w:r>
      <w:r>
        <w:rPr>
          <w:rFonts w:ascii="宋体" w:hAnsi="宋体"/>
          <w:bCs/>
          <w:color w:val="000000"/>
        </w:rPr>
        <w:t>8827799</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公司传真：（010）</w:t>
      </w:r>
      <w:r>
        <w:rPr>
          <w:rFonts w:ascii="宋体" w:hAnsi="宋体"/>
          <w:bCs/>
          <w:color w:val="000000"/>
        </w:rPr>
        <w:t>88018737</w:t>
      </w:r>
    </w:p>
    <w:p w:rsidR="00EE2B98" w:rsidRDefault="00EE2B98" w:rsidP="00EE2B98">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联系人：丁启新</w:t>
      </w:r>
    </w:p>
    <w:p w:rsidR="00822B64" w:rsidRDefault="00EE2B98" w:rsidP="00EE2B98">
      <w:pPr>
        <w:tabs>
          <w:tab w:val="left" w:pos="840"/>
        </w:tabs>
        <w:adjustRightInd w:val="0"/>
        <w:snapToGrid w:val="0"/>
        <w:spacing w:line="360" w:lineRule="auto"/>
        <w:ind w:firstLineChars="200" w:firstLine="420"/>
        <w:rPr>
          <w:rFonts w:ascii="宋体" w:hAnsi="宋体"/>
          <w:szCs w:val="23"/>
        </w:rPr>
      </w:pPr>
      <w:r>
        <w:rPr>
          <w:rFonts w:ascii="宋体" w:hAnsi="宋体" w:hint="eastAsia"/>
          <w:bCs/>
          <w:color w:val="000000"/>
        </w:rPr>
        <w:t>经办会计师：丁启新、户永红</w:t>
      </w:r>
      <w:r w:rsidR="00E92BF7">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55" w:name="_Toc360794100"/>
      <w:bookmarkStart w:id="56" w:name="_Toc360793498"/>
      <w:bookmarkStart w:id="57" w:name="_Toc360794516"/>
      <w:bookmarkStart w:id="58" w:name="_Toc48808884"/>
      <w:bookmarkStart w:id="59" w:name="_Toc360794408"/>
      <w:bookmarkStart w:id="60" w:name="_Toc362533455"/>
      <w:bookmarkStart w:id="61" w:name="_Toc360793850"/>
      <w:bookmarkStart w:id="62" w:name="_Toc362455183"/>
      <w:r>
        <w:rPr>
          <w:rFonts w:ascii="宋体" w:eastAsia="宋体" w:hAnsi="宋体" w:hint="eastAsia"/>
        </w:rPr>
        <w:lastRenderedPageBreak/>
        <w:t>基金募集</w:t>
      </w:r>
      <w:bookmarkEnd w:id="55"/>
      <w:bookmarkEnd w:id="56"/>
      <w:bookmarkEnd w:id="57"/>
      <w:bookmarkEnd w:id="58"/>
      <w:bookmarkEnd w:id="59"/>
      <w:bookmarkEnd w:id="60"/>
      <w:bookmarkEnd w:id="61"/>
      <w:bookmarkEnd w:id="62"/>
    </w:p>
    <w:p w:rsidR="00822B64" w:rsidRDefault="00822B64">
      <w:pPr>
        <w:pStyle w:val="34"/>
        <w:snapToGrid w:val="0"/>
        <w:spacing w:line="360" w:lineRule="auto"/>
        <w:ind w:firstLineChars="200" w:firstLine="420"/>
        <w:rPr>
          <w:rFonts w:hAnsi="宋体" w:hint="default"/>
          <w:sz w:val="21"/>
          <w:szCs w:val="21"/>
        </w:rPr>
      </w:pPr>
    </w:p>
    <w:p w:rsidR="00822B64" w:rsidRDefault="00E92BF7">
      <w:pPr>
        <w:pStyle w:val="34"/>
        <w:snapToGrid w:val="0"/>
        <w:spacing w:line="360" w:lineRule="auto"/>
        <w:ind w:firstLineChars="200" w:firstLine="420"/>
        <w:rPr>
          <w:rFonts w:hAnsi="宋体" w:hint="default"/>
          <w:sz w:val="21"/>
          <w:szCs w:val="21"/>
        </w:rPr>
      </w:pPr>
      <w:r>
        <w:rPr>
          <w:rFonts w:hAnsi="宋体"/>
          <w:sz w:val="21"/>
          <w:szCs w:val="21"/>
        </w:rPr>
        <w:t>本基金由基金管理人依照《基金法》、《运作办法》、《销售办法》、</w:t>
      </w:r>
      <w:r>
        <w:rPr>
          <w:rFonts w:hAnsi="宋体"/>
          <w:bCs/>
          <w:sz w:val="21"/>
          <w:szCs w:val="21"/>
        </w:rPr>
        <w:t>《流动性风险管理规定》、</w:t>
      </w:r>
      <w:r>
        <w:rPr>
          <w:rFonts w:hAnsi="宋体"/>
          <w:sz w:val="21"/>
          <w:szCs w:val="21"/>
        </w:rPr>
        <w:t>基金合同及其他有关规定，并经中国证监会20</w:t>
      </w:r>
      <w:r>
        <w:rPr>
          <w:rFonts w:hAnsi="宋体" w:hint="default"/>
          <w:sz w:val="21"/>
          <w:szCs w:val="21"/>
        </w:rPr>
        <w:t>20</w:t>
      </w:r>
      <w:r>
        <w:rPr>
          <w:rFonts w:hAnsi="宋体"/>
          <w:sz w:val="21"/>
          <w:szCs w:val="21"/>
        </w:rPr>
        <w:t>年</w:t>
      </w:r>
      <w:r>
        <w:rPr>
          <w:rFonts w:hAnsi="宋体" w:hint="default"/>
          <w:sz w:val="21"/>
          <w:szCs w:val="21"/>
        </w:rPr>
        <w:t>10</w:t>
      </w:r>
      <w:r>
        <w:rPr>
          <w:rFonts w:hAnsi="宋体"/>
          <w:sz w:val="21"/>
          <w:szCs w:val="21"/>
        </w:rPr>
        <w:t>月</w:t>
      </w:r>
      <w:r>
        <w:rPr>
          <w:rFonts w:hAnsi="宋体" w:hint="default"/>
          <w:sz w:val="21"/>
          <w:szCs w:val="21"/>
        </w:rPr>
        <w:t>28</w:t>
      </w:r>
      <w:r>
        <w:rPr>
          <w:rFonts w:hAnsi="宋体"/>
          <w:sz w:val="21"/>
          <w:szCs w:val="21"/>
        </w:rPr>
        <w:t>日证监许可【20</w:t>
      </w:r>
      <w:r>
        <w:rPr>
          <w:rFonts w:hAnsi="宋体" w:hint="default"/>
          <w:sz w:val="21"/>
          <w:szCs w:val="21"/>
        </w:rPr>
        <w:t>20</w:t>
      </w:r>
      <w:r>
        <w:rPr>
          <w:rFonts w:hAnsi="宋体"/>
          <w:sz w:val="21"/>
          <w:szCs w:val="21"/>
        </w:rPr>
        <w:t>】</w:t>
      </w:r>
      <w:r>
        <w:rPr>
          <w:rFonts w:hAnsi="宋体" w:hint="default"/>
          <w:sz w:val="21"/>
          <w:szCs w:val="21"/>
        </w:rPr>
        <w:t>2785</w:t>
      </w:r>
      <w:r>
        <w:rPr>
          <w:rFonts w:hAnsi="宋体"/>
          <w:sz w:val="21"/>
          <w:szCs w:val="21"/>
        </w:rPr>
        <w:t>号文注册募集。</w:t>
      </w:r>
    </w:p>
    <w:p w:rsidR="00822B64" w:rsidRDefault="00E92BF7">
      <w:pPr>
        <w:snapToGrid w:val="0"/>
        <w:spacing w:line="360" w:lineRule="auto"/>
        <w:ind w:firstLineChars="200" w:firstLine="420"/>
        <w:rPr>
          <w:rFonts w:ascii="宋体" w:hAnsi="宋体"/>
          <w:bCs/>
        </w:rPr>
      </w:pPr>
      <w:r>
        <w:rPr>
          <w:rFonts w:ascii="宋体" w:hAnsi="宋体"/>
          <w:szCs w:val="21"/>
        </w:rPr>
        <w:t>本基金为契约型开放式基金</w:t>
      </w:r>
      <w:r>
        <w:rPr>
          <w:rFonts w:ascii="宋体" w:hAnsi="宋体" w:hint="eastAsia"/>
          <w:szCs w:val="21"/>
        </w:rPr>
        <w:t>、债券型</w:t>
      </w:r>
      <w:r>
        <w:rPr>
          <w:rFonts w:ascii="宋体" w:hAnsi="宋体"/>
          <w:szCs w:val="21"/>
        </w:rPr>
        <w:t>证券投资基金。基金存续期限为不定期</w:t>
      </w:r>
      <w:r>
        <w:rPr>
          <w:rFonts w:ascii="宋体" w:hAnsi="宋体" w:hint="eastAsia"/>
          <w:bCs/>
        </w:rPr>
        <w:t>。</w:t>
      </w:r>
    </w:p>
    <w:p w:rsidR="00822B64" w:rsidRDefault="00E92BF7">
      <w:pPr>
        <w:tabs>
          <w:tab w:val="left" w:pos="840"/>
        </w:tabs>
        <w:adjustRightInd w:val="0"/>
        <w:snapToGrid w:val="0"/>
        <w:spacing w:line="360" w:lineRule="auto"/>
        <w:ind w:firstLineChars="200" w:firstLine="422"/>
        <w:rPr>
          <w:rFonts w:ascii="宋体" w:hAnsi="宋体"/>
          <w:b/>
          <w:bCs/>
        </w:rPr>
      </w:pPr>
      <w:r>
        <w:rPr>
          <w:rFonts w:ascii="宋体" w:hAnsi="宋体"/>
          <w:b/>
          <w:bCs/>
        </w:rPr>
        <w:t>一、基金运作方式</w:t>
      </w:r>
    </w:p>
    <w:p w:rsidR="00822B64" w:rsidRDefault="00E92BF7">
      <w:pPr>
        <w:snapToGrid w:val="0"/>
        <w:spacing w:line="360" w:lineRule="auto"/>
        <w:ind w:firstLineChars="200" w:firstLine="420"/>
        <w:rPr>
          <w:rFonts w:ascii="宋体" w:hAnsi="宋体"/>
          <w:bCs/>
        </w:rPr>
      </w:pPr>
      <w:r>
        <w:rPr>
          <w:rFonts w:ascii="宋体" w:hAnsi="宋体" w:hint="eastAsia"/>
          <w:bCs/>
        </w:rPr>
        <w:t>契约型开放式</w:t>
      </w:r>
    </w:p>
    <w:p w:rsidR="00822B64" w:rsidRDefault="00E92BF7">
      <w:pPr>
        <w:snapToGrid w:val="0"/>
        <w:spacing w:line="360" w:lineRule="auto"/>
        <w:ind w:firstLineChars="200" w:firstLine="420"/>
        <w:rPr>
          <w:rFonts w:ascii="宋体" w:hAnsi="宋体"/>
          <w:bCs/>
        </w:rPr>
      </w:pPr>
      <w:r>
        <w:rPr>
          <w:rFonts w:ascii="宋体" w:hAnsi="宋体" w:hint="eastAsia"/>
          <w:bCs/>
        </w:rPr>
        <w:t>本基金以定期开放方式运作，即以封闭期和开放期相结合的方式运作。本基金以</w:t>
      </w:r>
      <w:r>
        <w:rPr>
          <w:rFonts w:ascii="宋体" w:hAnsi="宋体"/>
          <w:bCs/>
        </w:rPr>
        <w:t>66个月</w:t>
      </w:r>
      <w:r>
        <w:rPr>
          <w:rFonts w:ascii="宋体" w:hAnsi="宋体" w:hint="eastAsia"/>
          <w:bCs/>
        </w:rPr>
        <w:t>为一个封闭期。本基金的封闭期为自《基金合同》生效之日起（包括该日）或自每一开放期结束之日次日起（包括该日）至该封闭期首日的</w:t>
      </w:r>
      <w:r>
        <w:rPr>
          <w:rFonts w:ascii="宋体" w:hAnsi="宋体"/>
          <w:bCs/>
        </w:rPr>
        <w:t>66个月</w:t>
      </w:r>
      <w:r>
        <w:rPr>
          <w:rFonts w:ascii="宋体" w:hAnsi="宋体" w:hint="eastAsia"/>
          <w:bCs/>
        </w:rPr>
        <w:t>对日的前一日止。本基金的首个封闭期为自《基金合同》生效之日起（包括该日）至基金合同生效日的</w:t>
      </w:r>
      <w:r>
        <w:rPr>
          <w:rFonts w:ascii="宋体" w:hAnsi="宋体"/>
          <w:bCs/>
        </w:rPr>
        <w:t>66个月</w:t>
      </w:r>
      <w:r>
        <w:rPr>
          <w:rFonts w:ascii="宋体" w:hAnsi="宋体" w:hint="eastAsia"/>
          <w:bCs/>
        </w:rPr>
        <w:t>对日的前一日（含）止。第二个封闭期为首个开放期结束之日次日起（包括该日）至</w:t>
      </w:r>
      <w:r>
        <w:rPr>
          <w:rFonts w:ascii="宋体" w:hAnsi="宋体"/>
          <w:bCs/>
        </w:rPr>
        <w:t>66个月</w:t>
      </w:r>
      <w:r>
        <w:rPr>
          <w:rFonts w:ascii="宋体" w:hAnsi="宋体" w:hint="eastAsia"/>
          <w:bCs/>
        </w:rPr>
        <w:t>对日的前一日（含）止，以此类推。本基金封闭期内不办理申购与赎回业务，也不上市交易。</w:t>
      </w:r>
    </w:p>
    <w:p w:rsidR="00822B64" w:rsidRDefault="00E92BF7">
      <w:pPr>
        <w:snapToGrid w:val="0"/>
        <w:spacing w:line="360" w:lineRule="auto"/>
        <w:ind w:firstLineChars="200" w:firstLine="420"/>
        <w:rPr>
          <w:rFonts w:ascii="宋体" w:hAnsi="宋体"/>
          <w:bCs/>
        </w:rPr>
      </w:pPr>
      <w:r>
        <w:rPr>
          <w:rFonts w:ascii="宋体" w:hAnsi="宋体" w:hint="eastAsia"/>
          <w:bCs/>
        </w:rPr>
        <w:t>本基金自每个封闭期结束之后第一个工作日（含）起进入开放期，期间可以办理申购、赎回或其他业务。本基金每个开放期最长不超过</w:t>
      </w:r>
      <w:r>
        <w:rPr>
          <w:rFonts w:ascii="宋体" w:hAnsi="宋体"/>
          <w:bCs/>
        </w:rPr>
        <w:t>20</w:t>
      </w:r>
      <w:r>
        <w:rPr>
          <w:rFonts w:ascii="宋体" w:hAnsi="宋体" w:hint="eastAsia"/>
          <w:bCs/>
        </w:rPr>
        <w:t>个工作日，最短不少于</w:t>
      </w:r>
      <w:r>
        <w:rPr>
          <w:rFonts w:ascii="宋体" w:hAnsi="宋体"/>
          <w:bCs/>
        </w:rPr>
        <w:t>5</w:t>
      </w:r>
      <w:r>
        <w:rPr>
          <w:rFonts w:ascii="宋体" w:hAnsi="宋体" w:hint="eastAsia"/>
          <w:bCs/>
        </w:rPr>
        <w:t>个工作日，开放期的具体时间由基金管理人在开放期前依照《信息披露办法》的有关规定在规定媒介上予以公告。</w:t>
      </w:r>
    </w:p>
    <w:p w:rsidR="00822B64" w:rsidRDefault="00E92BF7">
      <w:pPr>
        <w:snapToGrid w:val="0"/>
        <w:spacing w:line="360" w:lineRule="auto"/>
        <w:ind w:firstLineChars="200" w:firstLine="420"/>
        <w:rPr>
          <w:rFonts w:ascii="宋体" w:hAnsi="宋体"/>
          <w:bCs/>
        </w:rPr>
      </w:pPr>
      <w:r>
        <w:rPr>
          <w:rFonts w:ascii="宋体" w:hAnsi="宋体" w:hint="eastAsia"/>
          <w:bCs/>
        </w:rPr>
        <w:t>如每个封闭期结束后或在开放期内发生不可抗力或其他情形致使基金无法按时开放申购或赎回业务，或依据《基金合同》需暂停申购或赎回业务的，开放期时间相应顺延，直至满足开放期的时间要求，具体时间以基金管理人届时的公告为准。</w:t>
      </w:r>
    </w:p>
    <w:p w:rsidR="00822B64" w:rsidRDefault="00E92BF7">
      <w:pPr>
        <w:tabs>
          <w:tab w:val="left" w:pos="840"/>
        </w:tabs>
        <w:adjustRightInd w:val="0"/>
        <w:snapToGrid w:val="0"/>
        <w:spacing w:line="360" w:lineRule="auto"/>
        <w:ind w:firstLineChars="200" w:firstLine="422"/>
        <w:rPr>
          <w:rFonts w:ascii="宋体" w:hAnsi="宋体"/>
          <w:b/>
          <w:bCs/>
        </w:rPr>
      </w:pPr>
      <w:r>
        <w:rPr>
          <w:rFonts w:ascii="宋体" w:hAnsi="宋体"/>
          <w:b/>
          <w:bCs/>
        </w:rPr>
        <w:t>二、基金类型</w:t>
      </w:r>
    </w:p>
    <w:p w:rsidR="00822B64" w:rsidRDefault="00E92BF7">
      <w:pPr>
        <w:tabs>
          <w:tab w:val="left" w:pos="840"/>
        </w:tabs>
        <w:adjustRightInd w:val="0"/>
        <w:snapToGrid w:val="0"/>
        <w:spacing w:line="360" w:lineRule="auto"/>
        <w:ind w:firstLineChars="200" w:firstLine="420"/>
        <w:rPr>
          <w:rFonts w:ascii="宋体" w:hAnsi="宋体"/>
          <w:bCs/>
        </w:rPr>
      </w:pPr>
      <w:r>
        <w:rPr>
          <w:rFonts w:ascii="宋体" w:hAnsi="宋体" w:hint="eastAsia"/>
          <w:bCs/>
        </w:rPr>
        <w:t>债券型证券投资基金</w:t>
      </w:r>
    </w:p>
    <w:p w:rsidR="00822B64" w:rsidRDefault="00E92BF7">
      <w:pPr>
        <w:tabs>
          <w:tab w:val="left" w:pos="840"/>
        </w:tabs>
        <w:adjustRightInd w:val="0"/>
        <w:snapToGrid w:val="0"/>
        <w:spacing w:line="360" w:lineRule="auto"/>
        <w:ind w:firstLineChars="200" w:firstLine="422"/>
        <w:rPr>
          <w:rFonts w:ascii="宋体" w:hAnsi="宋体"/>
          <w:b/>
          <w:bCs/>
        </w:rPr>
      </w:pPr>
      <w:r>
        <w:rPr>
          <w:rFonts w:ascii="宋体" w:hAnsi="宋体" w:hint="eastAsia"/>
          <w:b/>
          <w:bCs/>
        </w:rPr>
        <w:t>三、基金存续期限</w:t>
      </w:r>
    </w:p>
    <w:p w:rsidR="00822B64" w:rsidRDefault="00E92BF7">
      <w:pPr>
        <w:tabs>
          <w:tab w:val="left" w:pos="840"/>
        </w:tabs>
        <w:adjustRightInd w:val="0"/>
        <w:snapToGrid w:val="0"/>
        <w:spacing w:line="360" w:lineRule="auto"/>
        <w:ind w:firstLineChars="200" w:firstLine="420"/>
        <w:rPr>
          <w:rFonts w:ascii="宋体" w:hAnsi="宋体"/>
          <w:bCs/>
        </w:rPr>
      </w:pPr>
      <w:r>
        <w:rPr>
          <w:rFonts w:ascii="宋体" w:hAnsi="宋体" w:hint="eastAsia"/>
          <w:bCs/>
        </w:rPr>
        <w:t>不定期。</w:t>
      </w:r>
    </w:p>
    <w:p w:rsidR="00822B64" w:rsidRDefault="00E92BF7">
      <w:pPr>
        <w:tabs>
          <w:tab w:val="left" w:pos="840"/>
        </w:tabs>
        <w:adjustRightInd w:val="0"/>
        <w:snapToGrid w:val="0"/>
        <w:spacing w:line="360" w:lineRule="auto"/>
        <w:ind w:firstLineChars="200" w:firstLine="422"/>
        <w:rPr>
          <w:rFonts w:ascii="宋体" w:hAnsi="宋体"/>
          <w:b/>
          <w:bCs/>
        </w:rPr>
      </w:pPr>
      <w:r>
        <w:rPr>
          <w:rFonts w:ascii="宋体" w:hAnsi="宋体" w:hint="eastAsia"/>
          <w:b/>
          <w:bCs/>
        </w:rPr>
        <w:t>四、募集期限及募集结果</w:t>
      </w:r>
    </w:p>
    <w:p w:rsidR="00822B64" w:rsidRDefault="00E92BF7">
      <w:pPr>
        <w:tabs>
          <w:tab w:val="left" w:pos="840"/>
        </w:tabs>
        <w:adjustRightInd w:val="0"/>
        <w:snapToGrid w:val="0"/>
        <w:spacing w:line="360" w:lineRule="auto"/>
        <w:ind w:firstLineChars="200" w:firstLine="420"/>
        <w:rPr>
          <w:rFonts w:ascii="宋体" w:hAnsi="宋体"/>
          <w:bCs/>
        </w:rPr>
      </w:pPr>
      <w:r>
        <w:rPr>
          <w:rFonts w:ascii="宋体" w:hAnsi="宋体" w:hint="eastAsia"/>
          <w:bCs/>
        </w:rPr>
        <w:t>本基金募集期为自2021年4月26日起至2021年7月15日止。经毕马威华振会计师事务所（特殊普通合伙）验资，按照每份基金份额面值人民币1.00元计算，基金募集期共募集7,300,034,945.99份基金份额（其中包括利息转份额17,566.76份），有效认购户数为219户。</w:t>
      </w:r>
    </w:p>
    <w:p w:rsidR="00822B64" w:rsidRDefault="00822B64">
      <w:pPr>
        <w:tabs>
          <w:tab w:val="left" w:pos="840"/>
        </w:tabs>
        <w:adjustRightInd w:val="0"/>
        <w:snapToGrid w:val="0"/>
        <w:spacing w:line="360" w:lineRule="auto"/>
        <w:ind w:firstLineChars="200" w:firstLine="420"/>
        <w:rPr>
          <w:rFonts w:ascii="宋体" w:hAnsi="宋体"/>
          <w:bCs/>
        </w:rPr>
      </w:pPr>
    </w:p>
    <w:p w:rsidR="00822B64" w:rsidRDefault="00822B64">
      <w:pPr>
        <w:tabs>
          <w:tab w:val="left" w:pos="840"/>
        </w:tabs>
        <w:adjustRightInd w:val="0"/>
        <w:snapToGrid w:val="0"/>
        <w:spacing w:line="360" w:lineRule="auto"/>
        <w:ind w:firstLineChars="200" w:firstLine="420"/>
        <w:rPr>
          <w:rFonts w:ascii="宋体" w:hAnsi="宋体"/>
          <w:bCs/>
        </w:rPr>
      </w:pPr>
    </w:p>
    <w:p w:rsidR="00822B64" w:rsidRDefault="00E92BF7">
      <w:pPr>
        <w:pStyle w:val="21"/>
        <w:numPr>
          <w:ilvl w:val="0"/>
          <w:numId w:val="28"/>
        </w:numPr>
        <w:snapToGrid w:val="0"/>
        <w:spacing w:before="0" w:after="0" w:line="360" w:lineRule="auto"/>
        <w:jc w:val="left"/>
        <w:rPr>
          <w:rFonts w:ascii="宋体" w:eastAsia="宋体" w:hAnsi="宋体"/>
        </w:rPr>
      </w:pPr>
      <w:bookmarkStart w:id="63" w:name="_Toc360794409"/>
      <w:bookmarkStart w:id="64" w:name="_Toc362455184"/>
      <w:bookmarkStart w:id="65" w:name="_Toc360794517"/>
      <w:bookmarkStart w:id="66" w:name="_Toc360794101"/>
      <w:bookmarkStart w:id="67" w:name="_Toc48808885"/>
      <w:bookmarkStart w:id="68" w:name="_Toc360793499"/>
      <w:bookmarkStart w:id="69" w:name="_Toc362533456"/>
      <w:bookmarkStart w:id="70" w:name="_Toc360793851"/>
      <w:r>
        <w:rPr>
          <w:rFonts w:ascii="宋体" w:eastAsia="宋体" w:hAnsi="宋体" w:hint="eastAsia"/>
        </w:rPr>
        <w:lastRenderedPageBreak/>
        <w:t>基金合同的生效</w:t>
      </w:r>
      <w:bookmarkEnd w:id="63"/>
      <w:bookmarkEnd w:id="64"/>
      <w:bookmarkEnd w:id="65"/>
      <w:bookmarkEnd w:id="66"/>
      <w:bookmarkEnd w:id="67"/>
      <w:bookmarkEnd w:id="68"/>
      <w:bookmarkEnd w:id="69"/>
      <w:bookmarkEnd w:id="70"/>
    </w:p>
    <w:p w:rsidR="00822B64" w:rsidRDefault="00822B64">
      <w:pPr>
        <w:pStyle w:val="34"/>
        <w:snapToGrid w:val="0"/>
        <w:spacing w:line="360" w:lineRule="auto"/>
        <w:ind w:firstLineChars="200" w:firstLine="420"/>
        <w:rPr>
          <w:rFonts w:hAnsi="宋体" w:hint="default"/>
          <w:sz w:val="21"/>
          <w:szCs w:val="21"/>
        </w:rPr>
      </w:pPr>
    </w:p>
    <w:p w:rsidR="00822B64" w:rsidRDefault="00E92BF7">
      <w:pPr>
        <w:pStyle w:val="34"/>
        <w:snapToGrid w:val="0"/>
        <w:spacing w:line="360" w:lineRule="auto"/>
        <w:ind w:firstLineChars="200" w:firstLine="422"/>
        <w:rPr>
          <w:rFonts w:hAnsi="宋体" w:hint="default"/>
          <w:b/>
        </w:rPr>
      </w:pPr>
      <w:r>
        <w:rPr>
          <w:rFonts w:hAnsi="宋体"/>
          <w:b/>
          <w:sz w:val="21"/>
          <w:szCs w:val="21"/>
        </w:rPr>
        <w:t>一、基金备案的条件</w:t>
      </w:r>
    </w:p>
    <w:p w:rsidR="00822B64" w:rsidRDefault="00E92BF7">
      <w:pPr>
        <w:adjustRightInd w:val="0"/>
        <w:snapToGrid w:val="0"/>
        <w:spacing w:line="360" w:lineRule="auto"/>
        <w:ind w:firstLine="420"/>
        <w:rPr>
          <w:rFonts w:ascii="宋体" w:hAnsi="宋体"/>
          <w:szCs w:val="21"/>
        </w:rPr>
      </w:pPr>
      <w:r>
        <w:rPr>
          <w:rFonts w:ascii="宋体" w:hAnsi="宋体"/>
          <w:szCs w:val="21"/>
        </w:rPr>
        <w:t>本基金自基金份额发售之日起</w:t>
      </w:r>
      <w:r>
        <w:rPr>
          <w:rFonts w:ascii="宋体" w:hAnsi="宋体" w:hint="eastAsia"/>
          <w:szCs w:val="21"/>
        </w:rPr>
        <w:t>3</w:t>
      </w:r>
      <w:r>
        <w:rPr>
          <w:rFonts w:ascii="宋体" w:hAnsi="宋体"/>
          <w:szCs w:val="21"/>
        </w:rPr>
        <w:t>个月内，在基金募集份额总额不少于</w:t>
      </w:r>
      <w:r>
        <w:rPr>
          <w:rFonts w:ascii="宋体" w:hAnsi="宋体" w:hint="eastAsia"/>
          <w:szCs w:val="21"/>
        </w:rPr>
        <w:t>2</w:t>
      </w:r>
      <w:r>
        <w:rPr>
          <w:rFonts w:ascii="宋体" w:hAnsi="宋体"/>
          <w:szCs w:val="21"/>
        </w:rPr>
        <w:t>亿份，基金募集金额不少于</w:t>
      </w:r>
      <w:r>
        <w:rPr>
          <w:rFonts w:ascii="宋体" w:hAnsi="宋体" w:hint="eastAsia"/>
          <w:szCs w:val="21"/>
        </w:rPr>
        <w:t>2</w:t>
      </w:r>
      <w:r>
        <w:rPr>
          <w:rFonts w:ascii="宋体" w:hAnsi="宋体"/>
          <w:szCs w:val="21"/>
        </w:rPr>
        <w:t>亿元人民币且基金认购人数不少于</w:t>
      </w:r>
      <w:r>
        <w:rPr>
          <w:rFonts w:ascii="宋体" w:hAnsi="宋体" w:hint="eastAsia"/>
          <w:szCs w:val="21"/>
        </w:rPr>
        <w:t>2</w:t>
      </w:r>
      <w:r>
        <w:rPr>
          <w:rFonts w:ascii="宋体" w:hAnsi="宋体"/>
          <w:szCs w:val="21"/>
        </w:rPr>
        <w:t>00人的条件下，基金</w:t>
      </w:r>
      <w:r>
        <w:rPr>
          <w:rFonts w:ascii="宋体" w:hAnsi="宋体" w:hint="eastAsia"/>
          <w:szCs w:val="21"/>
        </w:rPr>
        <w:t>募集期届满或基金</w:t>
      </w:r>
      <w:r>
        <w:rPr>
          <w:rFonts w:ascii="宋体" w:hAnsi="宋体"/>
          <w:szCs w:val="21"/>
        </w:rPr>
        <w:t>管理人依据法律法规及招募说明书可以决定停止基金发售，并在</w:t>
      </w:r>
      <w:r>
        <w:rPr>
          <w:rFonts w:ascii="宋体" w:hAnsi="宋体" w:hint="eastAsia"/>
          <w:szCs w:val="21"/>
        </w:rPr>
        <w:t>1</w:t>
      </w:r>
      <w:r>
        <w:rPr>
          <w:rFonts w:ascii="宋体" w:hAnsi="宋体"/>
          <w:szCs w:val="21"/>
        </w:rPr>
        <w:t>0日内聘请法定验资机构验资，自收到验资报告之日起</w:t>
      </w:r>
      <w:r>
        <w:rPr>
          <w:rFonts w:ascii="宋体" w:hAnsi="宋体" w:hint="eastAsia"/>
          <w:szCs w:val="21"/>
        </w:rPr>
        <w:t>1</w:t>
      </w:r>
      <w:r>
        <w:rPr>
          <w:rFonts w:ascii="宋体" w:hAnsi="宋体"/>
          <w:szCs w:val="21"/>
        </w:rPr>
        <w:t>0日内，向中国证监会办理基金备案手续。</w:t>
      </w:r>
    </w:p>
    <w:p w:rsidR="00822B64" w:rsidRDefault="00E92BF7">
      <w:pPr>
        <w:adjustRightInd w:val="0"/>
        <w:snapToGrid w:val="0"/>
        <w:spacing w:line="360" w:lineRule="auto"/>
        <w:ind w:firstLine="420"/>
        <w:rPr>
          <w:rFonts w:ascii="宋体" w:hAnsi="宋体"/>
          <w:szCs w:val="21"/>
        </w:rPr>
      </w:pPr>
      <w:r>
        <w:rPr>
          <w:rFonts w:ascii="宋体" w:hAnsi="宋体"/>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822B64" w:rsidRDefault="00822B64">
      <w:pPr>
        <w:pStyle w:val="34"/>
        <w:snapToGrid w:val="0"/>
        <w:spacing w:line="360" w:lineRule="auto"/>
        <w:ind w:firstLine="0"/>
        <w:rPr>
          <w:rFonts w:hAnsi="宋体" w:hint="default"/>
          <w:sz w:val="21"/>
          <w:szCs w:val="21"/>
        </w:rPr>
      </w:pPr>
    </w:p>
    <w:p w:rsidR="00822B64" w:rsidRDefault="00E92BF7">
      <w:pPr>
        <w:pStyle w:val="34"/>
        <w:snapToGrid w:val="0"/>
        <w:spacing w:line="360" w:lineRule="auto"/>
        <w:ind w:firstLineChars="200" w:firstLine="422"/>
        <w:rPr>
          <w:rFonts w:hAnsi="宋体" w:hint="default"/>
          <w:b/>
          <w:sz w:val="21"/>
          <w:szCs w:val="21"/>
        </w:rPr>
      </w:pPr>
      <w:r>
        <w:rPr>
          <w:rFonts w:hAnsi="宋体"/>
          <w:b/>
          <w:sz w:val="21"/>
          <w:szCs w:val="21"/>
        </w:rPr>
        <w:t>二、基金存续期内的基金份额持有人数量和资产规模</w:t>
      </w:r>
    </w:p>
    <w:p w:rsidR="00822B64" w:rsidRDefault="00E92BF7">
      <w:pPr>
        <w:adjustRightInd w:val="0"/>
        <w:snapToGrid w:val="0"/>
        <w:spacing w:line="360" w:lineRule="auto"/>
        <w:ind w:firstLine="420"/>
        <w:rPr>
          <w:rFonts w:ascii="宋体" w:hAnsi="宋体"/>
          <w:szCs w:val="21"/>
        </w:rPr>
      </w:pPr>
      <w:r>
        <w:rPr>
          <w:rFonts w:ascii="宋体" w:hAnsi="宋体"/>
          <w:szCs w:val="21"/>
        </w:rPr>
        <w:t>《基金合同》生效后，</w:t>
      </w:r>
      <w:r>
        <w:rPr>
          <w:rFonts w:ascii="宋体" w:hAnsi="宋体"/>
          <w:bCs/>
          <w:szCs w:val="21"/>
        </w:rPr>
        <w:t>连续</w:t>
      </w:r>
      <w:r>
        <w:rPr>
          <w:rFonts w:ascii="宋体" w:hAnsi="宋体" w:hint="eastAsia"/>
          <w:bCs/>
          <w:szCs w:val="21"/>
        </w:rPr>
        <w:t>2</w:t>
      </w:r>
      <w:r>
        <w:rPr>
          <w:rFonts w:ascii="宋体" w:hAnsi="宋体"/>
          <w:bCs/>
          <w:szCs w:val="21"/>
        </w:rPr>
        <w:t>0个工作日出现</w:t>
      </w:r>
      <w:r>
        <w:rPr>
          <w:rFonts w:ascii="宋体" w:hAnsi="宋体"/>
          <w:szCs w:val="21"/>
        </w:rPr>
        <w:t>基金份额持有人数量不满</w:t>
      </w:r>
      <w:r>
        <w:rPr>
          <w:rFonts w:ascii="宋体" w:hAnsi="宋体" w:hint="eastAsia"/>
          <w:bCs/>
          <w:szCs w:val="21"/>
        </w:rPr>
        <w:t>2</w:t>
      </w:r>
      <w:r>
        <w:rPr>
          <w:rFonts w:ascii="宋体" w:hAnsi="宋体"/>
          <w:bCs/>
          <w:szCs w:val="21"/>
        </w:rPr>
        <w:t>00</w:t>
      </w:r>
      <w:r>
        <w:rPr>
          <w:rFonts w:ascii="宋体" w:hAnsi="宋体"/>
          <w:szCs w:val="21"/>
        </w:rPr>
        <w:t>人或者基金资产净值低于</w:t>
      </w:r>
      <w:r>
        <w:rPr>
          <w:rFonts w:ascii="宋体" w:hAnsi="宋体" w:hint="eastAsia"/>
          <w:szCs w:val="21"/>
        </w:rPr>
        <w:t>5</w:t>
      </w:r>
      <w:r>
        <w:rPr>
          <w:rFonts w:ascii="宋体" w:hAnsi="宋体"/>
          <w:szCs w:val="21"/>
        </w:rPr>
        <w:t>000</w:t>
      </w:r>
      <w:r>
        <w:rPr>
          <w:rFonts w:ascii="宋体" w:hAnsi="宋体" w:hint="eastAsia"/>
          <w:bCs/>
          <w:szCs w:val="21"/>
        </w:rPr>
        <w:t>万</w:t>
      </w:r>
      <w:r>
        <w:rPr>
          <w:rFonts w:ascii="宋体" w:hAnsi="宋体"/>
          <w:szCs w:val="21"/>
        </w:rPr>
        <w:t>元情形的，基金管理人应当</w:t>
      </w:r>
      <w:r>
        <w:rPr>
          <w:rFonts w:ascii="宋体" w:hAnsi="宋体" w:hint="eastAsia"/>
          <w:bCs/>
          <w:szCs w:val="21"/>
        </w:rPr>
        <w:t>在定期报告中予以披露</w:t>
      </w:r>
      <w:r>
        <w:rPr>
          <w:rFonts w:ascii="宋体" w:hAnsi="宋体"/>
          <w:szCs w:val="21"/>
        </w:rPr>
        <w:t>；连续</w:t>
      </w:r>
      <w:r>
        <w:rPr>
          <w:rFonts w:ascii="宋体" w:hAnsi="宋体" w:hint="eastAsia"/>
          <w:bCs/>
          <w:szCs w:val="21"/>
        </w:rPr>
        <w:t>6</w:t>
      </w:r>
      <w:r>
        <w:rPr>
          <w:rFonts w:ascii="宋体" w:hAnsi="宋体"/>
          <w:bCs/>
          <w:szCs w:val="21"/>
        </w:rPr>
        <w:t>0</w:t>
      </w:r>
      <w:r>
        <w:rPr>
          <w:rFonts w:ascii="宋体" w:hAnsi="宋体"/>
          <w:szCs w:val="21"/>
        </w:rPr>
        <w:t>个工作日出现前述情形的，基金管理人应当</w:t>
      </w:r>
      <w:r>
        <w:rPr>
          <w:rFonts w:ascii="宋体" w:hAnsi="宋体" w:hint="eastAsia"/>
          <w:szCs w:val="21"/>
        </w:rPr>
        <w:t>在1</w:t>
      </w:r>
      <w:r>
        <w:rPr>
          <w:rFonts w:ascii="宋体" w:hAnsi="宋体"/>
          <w:szCs w:val="21"/>
        </w:rPr>
        <w:t>0</w:t>
      </w:r>
      <w:r>
        <w:rPr>
          <w:rFonts w:ascii="宋体" w:hAnsi="宋体" w:hint="eastAsia"/>
          <w:szCs w:val="21"/>
        </w:rPr>
        <w:t>个工作日内</w:t>
      </w:r>
      <w:r>
        <w:rPr>
          <w:rFonts w:ascii="宋体" w:hAnsi="宋体"/>
          <w:szCs w:val="21"/>
        </w:rPr>
        <w:t>向中国证监会</w:t>
      </w:r>
      <w:r>
        <w:rPr>
          <w:rFonts w:ascii="宋体" w:hAnsi="宋体" w:hint="eastAsia"/>
          <w:bCs/>
          <w:szCs w:val="21"/>
        </w:rPr>
        <w:t>报告</w:t>
      </w:r>
      <w:r>
        <w:rPr>
          <w:rFonts w:ascii="宋体" w:hAnsi="宋体"/>
          <w:bCs/>
          <w:szCs w:val="21"/>
        </w:rPr>
        <w:t>并</w:t>
      </w:r>
      <w:r>
        <w:rPr>
          <w:rFonts w:ascii="宋体" w:hAnsi="宋体" w:hint="eastAsia"/>
          <w:bCs/>
          <w:szCs w:val="21"/>
        </w:rPr>
        <w:t>提出</w:t>
      </w:r>
      <w:r>
        <w:rPr>
          <w:rFonts w:ascii="宋体" w:hAnsi="宋体"/>
          <w:szCs w:val="21"/>
        </w:rPr>
        <w:t>解决方案</w:t>
      </w:r>
      <w:r>
        <w:rPr>
          <w:rFonts w:ascii="宋体" w:hAnsi="宋体" w:hint="eastAsia"/>
          <w:szCs w:val="21"/>
        </w:rPr>
        <w:t>，如持续运作、转换运作方式、与其他基金合并或者终止基金合同等，并在6个月内召开基金份额持有人大</w:t>
      </w:r>
      <w:r>
        <w:rPr>
          <w:rFonts w:ascii="宋体" w:hAnsi="宋体" w:hint="eastAsia"/>
          <w:bCs/>
          <w:szCs w:val="21"/>
        </w:rPr>
        <w:t>会进行表决</w:t>
      </w:r>
      <w:r>
        <w:rPr>
          <w:rFonts w:ascii="宋体" w:hAnsi="宋体"/>
          <w:szCs w:val="21"/>
        </w:rPr>
        <w:t>。</w:t>
      </w:r>
      <w:r>
        <w:rPr>
          <w:rFonts w:ascii="宋体" w:hAnsi="宋体" w:hint="eastAsia"/>
          <w:szCs w:val="21"/>
        </w:rPr>
        <w:t>基金暂停运作时，上述连续期间中断，本基金恢复运作后重新开始计算。</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在基金暂停运作期间，基金管理人与基金托管人协商一致的前提下，可以根据基金合同第十九部分的约定进行基金财产清算并终止，且无需召开基金份额持有人大会。</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法律法规</w:t>
      </w:r>
      <w:r>
        <w:rPr>
          <w:rFonts w:hint="eastAsia"/>
          <w:bCs/>
          <w:szCs w:val="21"/>
        </w:rPr>
        <w:t>或中国证监会</w:t>
      </w:r>
      <w:r>
        <w:rPr>
          <w:rFonts w:ascii="宋体" w:hAnsi="宋体"/>
          <w:szCs w:val="21"/>
        </w:rPr>
        <w:t>另有规定时，从其规定。</w:t>
      </w:r>
    </w:p>
    <w:p w:rsidR="00822B64" w:rsidRDefault="00822B64">
      <w:pPr>
        <w:snapToGrid w:val="0"/>
        <w:spacing w:line="360" w:lineRule="auto"/>
        <w:ind w:firstLineChars="200" w:firstLine="420"/>
        <w:rPr>
          <w:rFonts w:ascii="宋体" w:hAnsi="宋体"/>
          <w:szCs w:val="21"/>
        </w:rPr>
      </w:pPr>
    </w:p>
    <w:p w:rsidR="00822B64" w:rsidRDefault="00E92BF7">
      <w:pPr>
        <w:snapToGrid w:val="0"/>
        <w:spacing w:line="360" w:lineRule="auto"/>
        <w:ind w:firstLineChars="200" w:firstLine="420"/>
        <w:rPr>
          <w:rFonts w:ascii="宋体" w:hAnsi="宋体"/>
        </w:rPr>
      </w:pPr>
      <w:r>
        <w:rPr>
          <w:rFonts w:ascii="宋体" w:hAnsi="宋体"/>
          <w:szCs w:val="21"/>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71" w:name="_Toc362533457"/>
      <w:bookmarkStart w:id="72" w:name="_Toc362455185"/>
      <w:bookmarkStart w:id="73" w:name="_Toc360793500"/>
      <w:bookmarkStart w:id="74" w:name="_Toc360794410"/>
      <w:bookmarkStart w:id="75" w:name="_Toc360793852"/>
      <w:bookmarkStart w:id="76" w:name="_Toc360794518"/>
      <w:bookmarkStart w:id="77" w:name="_Toc360794102"/>
      <w:bookmarkStart w:id="78" w:name="_Toc48808886"/>
      <w:r>
        <w:rPr>
          <w:rFonts w:ascii="宋体" w:eastAsia="宋体" w:hAnsi="宋体" w:hint="eastAsia"/>
        </w:rPr>
        <w:lastRenderedPageBreak/>
        <w:t>基金份额的申购和赎回</w:t>
      </w:r>
      <w:bookmarkEnd w:id="71"/>
      <w:bookmarkEnd w:id="72"/>
      <w:bookmarkEnd w:id="73"/>
      <w:bookmarkEnd w:id="74"/>
      <w:bookmarkEnd w:id="75"/>
      <w:bookmarkEnd w:id="76"/>
      <w:bookmarkEnd w:id="77"/>
      <w:bookmarkEnd w:id="78"/>
    </w:p>
    <w:p w:rsidR="00822B64" w:rsidRDefault="00822B64">
      <w:pPr>
        <w:pStyle w:val="a9"/>
        <w:snapToGrid w:val="0"/>
        <w:ind w:firstLineChars="196" w:firstLine="413"/>
        <w:rPr>
          <w:rFonts w:ascii="宋体" w:hAnsi="宋体"/>
          <w:b/>
          <w:sz w:val="21"/>
          <w:szCs w:val="21"/>
        </w:rPr>
      </w:pPr>
    </w:p>
    <w:p w:rsidR="00822B64" w:rsidRDefault="00E92BF7">
      <w:pPr>
        <w:pStyle w:val="a9"/>
        <w:snapToGrid w:val="0"/>
        <w:ind w:firstLineChars="196" w:firstLine="413"/>
        <w:rPr>
          <w:rFonts w:ascii="宋体" w:hAnsi="宋体"/>
          <w:b/>
          <w:sz w:val="21"/>
          <w:szCs w:val="21"/>
        </w:rPr>
      </w:pPr>
      <w:r>
        <w:rPr>
          <w:rFonts w:ascii="宋体" w:hAnsi="宋体"/>
          <w:b/>
          <w:sz w:val="21"/>
          <w:szCs w:val="21"/>
        </w:rPr>
        <w:t>一、</w:t>
      </w:r>
      <w:r>
        <w:rPr>
          <w:rFonts w:ascii="宋体" w:hAnsi="宋体" w:hint="eastAsia"/>
          <w:b/>
          <w:sz w:val="21"/>
          <w:szCs w:val="21"/>
        </w:rPr>
        <w:t>基金的封闭期和开放期</w:t>
      </w:r>
    </w:p>
    <w:p w:rsidR="00822B64" w:rsidRDefault="00E92BF7">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、基金的封闭期</w:t>
      </w:r>
      <w:r>
        <w:rPr>
          <w:rFonts w:ascii="宋体" w:hAnsi="宋体"/>
          <w:bCs/>
          <w:szCs w:val="21"/>
        </w:rPr>
        <w:t xml:space="preserve"> </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本基金的封闭期为自《基金合同》生效之日起（包括该日）或自每一开放期结束之日次日起（包括该日）</w:t>
      </w:r>
      <w:r>
        <w:rPr>
          <w:rFonts w:ascii="宋体" w:hAnsi="宋体"/>
          <w:bCs/>
          <w:szCs w:val="21"/>
        </w:rPr>
        <w:t>至该封闭期首日的</w:t>
      </w:r>
      <w:r>
        <w:rPr>
          <w:rFonts w:ascii="宋体" w:hAnsi="宋体" w:hint="eastAsia"/>
          <w:bCs/>
          <w:szCs w:val="21"/>
        </w:rPr>
        <w:t>6</w:t>
      </w:r>
      <w:r>
        <w:rPr>
          <w:rFonts w:ascii="宋体" w:hAnsi="宋体"/>
          <w:bCs/>
          <w:szCs w:val="21"/>
        </w:rPr>
        <w:t>6</w:t>
      </w:r>
      <w:r>
        <w:rPr>
          <w:rFonts w:ascii="宋体" w:hAnsi="宋体" w:hint="eastAsia"/>
          <w:szCs w:val="21"/>
        </w:rPr>
        <w:t>个月</w:t>
      </w:r>
      <w:r>
        <w:rPr>
          <w:rFonts w:ascii="宋体" w:hAnsi="宋体"/>
          <w:bCs/>
          <w:szCs w:val="21"/>
        </w:rPr>
        <w:t>对日的前一日</w:t>
      </w:r>
      <w:r>
        <w:rPr>
          <w:rFonts w:ascii="宋体" w:hAnsi="宋体" w:hint="eastAsia"/>
          <w:bCs/>
          <w:szCs w:val="21"/>
        </w:rPr>
        <w:t>（含）</w:t>
      </w:r>
      <w:r>
        <w:rPr>
          <w:rFonts w:ascii="宋体" w:hAnsi="宋体"/>
          <w:bCs/>
          <w:szCs w:val="21"/>
        </w:rPr>
        <w:t>止</w:t>
      </w:r>
      <w:r>
        <w:rPr>
          <w:rFonts w:ascii="宋体" w:hAnsi="宋体" w:hint="eastAsia"/>
          <w:bCs/>
          <w:szCs w:val="21"/>
        </w:rPr>
        <w:t>。本基金的首个封闭期为自《基金合同》生效之日起（包括该日）</w:t>
      </w:r>
      <w:r>
        <w:rPr>
          <w:rFonts w:ascii="宋体" w:hAnsi="宋体"/>
          <w:bCs/>
          <w:szCs w:val="21"/>
        </w:rPr>
        <w:t>至</w:t>
      </w:r>
      <w:r>
        <w:rPr>
          <w:rFonts w:ascii="宋体" w:hAnsi="宋体" w:hint="eastAsia"/>
          <w:bCs/>
          <w:szCs w:val="21"/>
        </w:rPr>
        <w:t>《</w:t>
      </w:r>
      <w:r>
        <w:rPr>
          <w:rFonts w:ascii="宋体" w:hAnsi="宋体"/>
          <w:bCs/>
          <w:szCs w:val="21"/>
        </w:rPr>
        <w:t>基金合同</w:t>
      </w:r>
      <w:r>
        <w:rPr>
          <w:rFonts w:ascii="宋体" w:hAnsi="宋体" w:hint="eastAsia"/>
          <w:bCs/>
          <w:szCs w:val="21"/>
        </w:rPr>
        <w:t>》</w:t>
      </w:r>
      <w:r>
        <w:rPr>
          <w:rFonts w:ascii="宋体" w:hAnsi="宋体"/>
          <w:bCs/>
          <w:szCs w:val="21"/>
        </w:rPr>
        <w:t>生效日的</w:t>
      </w:r>
      <w:r>
        <w:rPr>
          <w:rFonts w:ascii="宋体" w:hAnsi="宋体"/>
          <w:szCs w:val="21"/>
        </w:rPr>
        <w:t>66</w:t>
      </w:r>
      <w:r>
        <w:rPr>
          <w:rFonts w:ascii="宋体" w:hAnsi="宋体" w:hint="eastAsia"/>
          <w:szCs w:val="21"/>
        </w:rPr>
        <w:t>个月</w:t>
      </w:r>
      <w:r>
        <w:rPr>
          <w:rFonts w:ascii="宋体" w:hAnsi="宋体"/>
          <w:bCs/>
          <w:szCs w:val="21"/>
        </w:rPr>
        <w:t>对日的前一日</w:t>
      </w:r>
      <w:r>
        <w:rPr>
          <w:rFonts w:ascii="宋体" w:hAnsi="宋体" w:hint="eastAsia"/>
          <w:bCs/>
          <w:szCs w:val="21"/>
        </w:rPr>
        <w:t>（含）</w:t>
      </w:r>
      <w:r>
        <w:rPr>
          <w:rFonts w:ascii="宋体" w:hAnsi="宋体"/>
          <w:bCs/>
          <w:szCs w:val="21"/>
        </w:rPr>
        <w:t>止</w:t>
      </w:r>
      <w:r>
        <w:rPr>
          <w:rFonts w:ascii="宋体" w:hAnsi="宋体" w:hint="eastAsia"/>
          <w:bCs/>
          <w:szCs w:val="21"/>
        </w:rPr>
        <w:t>。第二个封闭期为首个开放期结束之日次日起（包括该日）</w:t>
      </w:r>
      <w:r>
        <w:rPr>
          <w:rFonts w:ascii="宋体" w:hAnsi="宋体"/>
          <w:bCs/>
          <w:szCs w:val="21"/>
        </w:rPr>
        <w:t>至</w:t>
      </w:r>
      <w:r>
        <w:rPr>
          <w:rFonts w:ascii="宋体" w:hAnsi="宋体"/>
          <w:szCs w:val="21"/>
        </w:rPr>
        <w:t>66</w:t>
      </w:r>
      <w:r>
        <w:rPr>
          <w:rFonts w:ascii="宋体" w:hAnsi="宋体" w:hint="eastAsia"/>
          <w:szCs w:val="21"/>
        </w:rPr>
        <w:t>个月</w:t>
      </w:r>
      <w:r>
        <w:rPr>
          <w:rFonts w:ascii="宋体" w:hAnsi="宋体"/>
          <w:bCs/>
          <w:szCs w:val="21"/>
        </w:rPr>
        <w:t>对日的前一日</w:t>
      </w:r>
      <w:r>
        <w:rPr>
          <w:rFonts w:ascii="宋体" w:hAnsi="宋体" w:hint="eastAsia"/>
          <w:bCs/>
          <w:szCs w:val="21"/>
        </w:rPr>
        <w:t>（含）</w:t>
      </w:r>
      <w:r>
        <w:rPr>
          <w:rFonts w:ascii="宋体" w:hAnsi="宋体"/>
          <w:bCs/>
          <w:szCs w:val="21"/>
        </w:rPr>
        <w:t>止</w:t>
      </w:r>
      <w:r>
        <w:rPr>
          <w:rFonts w:ascii="宋体" w:hAnsi="宋体" w:hint="eastAsia"/>
          <w:bCs/>
          <w:szCs w:val="21"/>
        </w:rPr>
        <w:t>，以此类推。本基金封闭期内不办理申购与赎回业务，也不上市交易。</w:t>
      </w:r>
    </w:p>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、基金的开放期</w:t>
      </w:r>
      <w:r>
        <w:rPr>
          <w:rFonts w:ascii="宋体" w:hAnsi="宋体"/>
          <w:bCs/>
          <w:szCs w:val="21"/>
        </w:rPr>
        <w:t xml:space="preserve"> </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本基金自每个封闭期结束之后第一个工作日起进入开放期，期间可以办理申购、赎回或其他业务。本基金每个开放期最长不超过</w:t>
      </w:r>
      <w:r>
        <w:rPr>
          <w:rFonts w:ascii="宋体" w:hAnsi="宋体"/>
          <w:bCs/>
          <w:szCs w:val="21"/>
        </w:rPr>
        <w:t>20</w:t>
      </w:r>
      <w:r>
        <w:rPr>
          <w:rFonts w:ascii="宋体" w:hAnsi="宋体" w:hint="eastAsia"/>
          <w:bCs/>
          <w:szCs w:val="21"/>
        </w:rPr>
        <w:t>个工作日，最短不少于</w:t>
      </w:r>
      <w:r>
        <w:rPr>
          <w:rFonts w:ascii="宋体" w:hAnsi="宋体"/>
          <w:bCs/>
          <w:szCs w:val="21"/>
        </w:rPr>
        <w:t>5</w:t>
      </w:r>
      <w:r>
        <w:rPr>
          <w:rFonts w:ascii="宋体" w:hAnsi="宋体" w:hint="eastAsia"/>
          <w:bCs/>
          <w:szCs w:val="21"/>
        </w:rPr>
        <w:t>个工作日，开放期的具体时间由基金管理人在开放期前依照《信息披露办法》的有关规定在规定媒介上予以公告。本基金的开放日为在开放期内销售机构办理本基金份额申购、赎回等业务的工作日。如每个封闭期结束后或在开放期内发生不可抗力或其他情形致使基金无法按时开放申购或赎回业务，或依据《基金合同》需暂停申购或赎回业务的，开放期时间相应顺延，直至满足开放期的时间要求，具体时间以基金管理人届时的公告为准。</w:t>
      </w: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二、</w:t>
      </w:r>
      <w:r>
        <w:rPr>
          <w:rFonts w:ascii="宋体" w:hAnsi="宋体"/>
          <w:b/>
          <w:sz w:val="21"/>
          <w:szCs w:val="21"/>
        </w:rPr>
        <w:t>申购和赎回场所</w:t>
      </w:r>
    </w:p>
    <w:p w:rsidR="00822B64" w:rsidRDefault="00E92BF7">
      <w:pPr>
        <w:snapToGrid w:val="0"/>
        <w:spacing w:line="360" w:lineRule="auto"/>
        <w:ind w:firstLineChars="200" w:firstLine="420"/>
        <w:rPr>
          <w:rFonts w:ascii="宋体" w:hAnsi="宋体"/>
          <w:bCs/>
          <w:szCs w:val="21"/>
        </w:rPr>
      </w:pPr>
      <w:r>
        <w:rPr>
          <w:rFonts w:ascii="宋体" w:hAnsi="宋体"/>
          <w:bCs/>
          <w:szCs w:val="21"/>
        </w:rPr>
        <w:t>本基金的申购与赎回将通过销售机构进行。具体的销售网点将由基金管理人在招募说明书或其</w:t>
      </w:r>
      <w:r>
        <w:rPr>
          <w:rFonts w:ascii="宋体" w:hAnsi="宋体" w:hint="eastAsia"/>
          <w:bCs/>
          <w:szCs w:val="21"/>
        </w:rPr>
        <w:t>网站</w:t>
      </w:r>
      <w:r>
        <w:rPr>
          <w:rFonts w:ascii="宋体" w:hAnsi="宋体"/>
          <w:bCs/>
          <w:szCs w:val="21"/>
        </w:rPr>
        <w:t>列明。基金管理人可根据情况变更或增减销售机构</w:t>
      </w:r>
      <w:r>
        <w:rPr>
          <w:rFonts w:ascii="宋体" w:hAnsi="宋体" w:hint="eastAsia"/>
          <w:bCs/>
          <w:szCs w:val="21"/>
        </w:rPr>
        <w:t>，并在基金管理人网站公示</w:t>
      </w:r>
      <w:r>
        <w:rPr>
          <w:rFonts w:ascii="宋体" w:hAnsi="宋体"/>
          <w:bCs/>
          <w:szCs w:val="21"/>
        </w:rPr>
        <w:t>。基金投资者应当</w:t>
      </w:r>
      <w:r>
        <w:rPr>
          <w:rFonts w:ascii="宋体" w:hAnsi="宋体" w:hint="eastAsia"/>
          <w:bCs/>
          <w:szCs w:val="21"/>
        </w:rPr>
        <w:t>在</w:t>
      </w:r>
      <w:r>
        <w:rPr>
          <w:rFonts w:ascii="宋体" w:hAnsi="宋体"/>
          <w:bCs/>
          <w:szCs w:val="21"/>
        </w:rPr>
        <w:t>销售机构办理基金销售业务的营业场所或按销售机构提供的其他方式办理基金份额的申购与赎回。</w:t>
      </w: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三</w:t>
      </w:r>
      <w:r>
        <w:rPr>
          <w:rFonts w:ascii="宋体" w:hAnsi="宋体"/>
          <w:b/>
          <w:sz w:val="21"/>
          <w:szCs w:val="21"/>
        </w:rPr>
        <w:t>、申购和赎回的开放日及时间</w:t>
      </w:r>
    </w:p>
    <w:p w:rsidR="00822B64" w:rsidRDefault="00E92BF7">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w:t>
      </w:r>
      <w:r>
        <w:rPr>
          <w:rFonts w:ascii="宋体" w:hAnsi="宋体"/>
          <w:bCs/>
          <w:szCs w:val="21"/>
        </w:rPr>
        <w:t>开放日及开放时间</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本基金办理基金份额的申购和赎回的开放日为开放期内的每个工作日。</w:t>
      </w:r>
      <w:r>
        <w:rPr>
          <w:rFonts w:ascii="宋体" w:hAnsi="宋体"/>
          <w:bCs/>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r>
        <w:rPr>
          <w:rFonts w:ascii="宋体" w:hAnsi="宋体" w:hint="eastAsia"/>
          <w:bCs/>
          <w:szCs w:val="21"/>
        </w:rPr>
        <w:t>封闭期内，本基金不办理申购与赎回业务，也不上市交易。</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基金合同</w:t>
      </w:r>
      <w:r>
        <w:rPr>
          <w:rFonts w:ascii="宋体" w:hAnsi="宋体" w:hint="eastAsia"/>
          <w:bCs/>
          <w:szCs w:val="21"/>
        </w:rPr>
        <w:t>》</w:t>
      </w:r>
      <w:r>
        <w:rPr>
          <w:rFonts w:ascii="宋体" w:hAnsi="宋体"/>
          <w:bCs/>
          <w:szCs w:val="21"/>
        </w:rPr>
        <w:t>生效后，若出现新的证券</w:t>
      </w:r>
      <w:r>
        <w:rPr>
          <w:rFonts w:ascii="宋体" w:hAnsi="宋体" w:hint="eastAsia"/>
          <w:bCs/>
          <w:szCs w:val="21"/>
        </w:rPr>
        <w:t>交易市场、</w:t>
      </w:r>
      <w:r>
        <w:rPr>
          <w:rFonts w:ascii="宋体" w:hAnsi="宋体"/>
          <w:bCs/>
          <w:szCs w:val="21"/>
        </w:rPr>
        <w:t>证券交易所交易时间变更或其他特殊情况，基金管理人将视情况对前述开放日及开放时间进行相应的调整，但应在实施日前依照《信息披露办法》的有关规定在规定媒介上公告。</w:t>
      </w:r>
    </w:p>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申购、赎回开始日及业务办理时间</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本基金自封闭期结束之日的第一个工作日（包含该日）起进入开放期，期间可以办理申</w:t>
      </w:r>
      <w:r>
        <w:rPr>
          <w:rFonts w:ascii="宋体" w:hAnsi="宋体" w:hint="eastAsia"/>
          <w:bCs/>
          <w:szCs w:val="21"/>
        </w:rPr>
        <w:lastRenderedPageBreak/>
        <w:t>购与赎回业务。本基金每个开放期最长不超过</w:t>
      </w:r>
      <w:r>
        <w:rPr>
          <w:rFonts w:ascii="宋体" w:hAnsi="宋体"/>
          <w:bCs/>
          <w:szCs w:val="21"/>
        </w:rPr>
        <w:t>20</w:t>
      </w:r>
      <w:r>
        <w:rPr>
          <w:rFonts w:ascii="宋体" w:hAnsi="宋体" w:hint="eastAsia"/>
          <w:bCs/>
          <w:szCs w:val="21"/>
        </w:rPr>
        <w:t>个工作日，最短不少于</w:t>
      </w:r>
      <w:r>
        <w:rPr>
          <w:rFonts w:ascii="宋体" w:hAnsi="宋体"/>
          <w:bCs/>
          <w:szCs w:val="21"/>
        </w:rPr>
        <w:t>5</w:t>
      </w:r>
      <w:r>
        <w:rPr>
          <w:rFonts w:ascii="宋体" w:hAnsi="宋体" w:hint="eastAsia"/>
          <w:bCs/>
          <w:szCs w:val="21"/>
        </w:rPr>
        <w:t>个工作日，开放期的具体时间由基金管理人在开放期前依照《信息披露办法》的有关规定在规定媒介予以公告。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如每个封闭期结束后或在开放期内发生不可抗力或其他情形致使基金无法按时开放申购或赎回业务，或依据《基金合同》需暂停申购或赎回业务的，开放期时间相应顺延，直至满足开放期的时间要求，具体时间以基金管理人届时的公告为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不得在开放期之外的日期办理基金份额的申购、赎回或者转换。在开放期内，投资人在《基金合同》约定之外的日期和时间提出申购、赎回或转换申请且登记机构确认接受的，其基金份额申购、赎回价格为下一开放日基金份额申购、赎回的价格。但在开放期最后一个开放日，投资人在业务办理时间结束后提出申购、赎回或者转换申请的，视为无效申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四</w:t>
      </w:r>
      <w:r>
        <w:rPr>
          <w:rFonts w:ascii="宋体" w:hAnsi="宋体"/>
          <w:bCs/>
          <w:szCs w:val="21"/>
        </w:rPr>
        <w:t>、申购与赎回的原则</w:t>
      </w:r>
    </w:p>
    <w:p w:rsidR="00822B64" w:rsidRDefault="00E92BF7">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w:t>
      </w:r>
      <w:r>
        <w:rPr>
          <w:rFonts w:ascii="宋体" w:hAnsi="宋体"/>
          <w:bCs/>
          <w:szCs w:val="21"/>
        </w:rPr>
        <w:t>未知价</w:t>
      </w:r>
      <w:r>
        <w:rPr>
          <w:rFonts w:ascii="宋体" w:hAnsi="宋体" w:hint="eastAsia"/>
          <w:bCs/>
          <w:szCs w:val="21"/>
        </w:rPr>
        <w:t>”</w:t>
      </w:r>
      <w:r>
        <w:rPr>
          <w:rFonts w:ascii="宋体" w:hAnsi="宋体"/>
          <w:bCs/>
          <w:szCs w:val="21"/>
        </w:rPr>
        <w:t>原则，即</w:t>
      </w:r>
      <w:r>
        <w:rPr>
          <w:rFonts w:ascii="宋体" w:hAnsi="宋体" w:hint="eastAsia"/>
          <w:bCs/>
          <w:szCs w:val="21"/>
        </w:rPr>
        <w:t>开放期内</w:t>
      </w:r>
      <w:r>
        <w:rPr>
          <w:rFonts w:ascii="宋体" w:hAnsi="宋体"/>
          <w:bCs/>
          <w:szCs w:val="21"/>
        </w:rPr>
        <w:t>申购、赎回价格以申请当日收市后计算的基金份额净值为基准进行计算；</w:t>
      </w:r>
    </w:p>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金额申购、份额赎回</w:t>
      </w:r>
      <w:r>
        <w:rPr>
          <w:rFonts w:ascii="宋体" w:hAnsi="宋体" w:hint="eastAsia"/>
          <w:bCs/>
          <w:szCs w:val="21"/>
        </w:rPr>
        <w:t>”</w:t>
      </w:r>
      <w:r>
        <w:rPr>
          <w:rFonts w:ascii="宋体" w:hAnsi="宋体"/>
          <w:bCs/>
          <w:szCs w:val="21"/>
        </w:rPr>
        <w:t>原则，即申购以金额申请，赎回以份额申请；</w:t>
      </w:r>
    </w:p>
    <w:p w:rsidR="00822B64" w:rsidRDefault="00E92BF7">
      <w:pPr>
        <w:snapToGrid w:val="0"/>
        <w:spacing w:line="360" w:lineRule="auto"/>
        <w:ind w:firstLineChars="200" w:firstLine="420"/>
        <w:rPr>
          <w:rFonts w:ascii="宋体" w:hAnsi="宋体"/>
          <w:bCs/>
          <w:szCs w:val="21"/>
        </w:rPr>
      </w:pPr>
      <w:r>
        <w:rPr>
          <w:rFonts w:ascii="宋体" w:hAnsi="宋体"/>
          <w:bCs/>
          <w:szCs w:val="21"/>
        </w:rPr>
        <w:t>3</w:t>
      </w:r>
      <w:r>
        <w:rPr>
          <w:rFonts w:ascii="宋体" w:hAnsi="宋体" w:hint="eastAsia"/>
          <w:bCs/>
          <w:szCs w:val="21"/>
        </w:rPr>
        <w:t>、</w:t>
      </w:r>
      <w:r>
        <w:rPr>
          <w:rFonts w:ascii="宋体" w:hAnsi="宋体"/>
          <w:bCs/>
          <w:szCs w:val="21"/>
        </w:rPr>
        <w:t>当日的申购与赎回申请可以在基金管理人规定的时间以内撤销；</w:t>
      </w:r>
    </w:p>
    <w:p w:rsidR="00822B64" w:rsidRDefault="00E92BF7">
      <w:pPr>
        <w:snapToGrid w:val="0"/>
        <w:spacing w:line="360" w:lineRule="auto"/>
        <w:ind w:firstLineChars="200" w:firstLine="420"/>
        <w:rPr>
          <w:rFonts w:ascii="宋体" w:hAnsi="宋体"/>
          <w:bCs/>
          <w:szCs w:val="21"/>
        </w:rPr>
      </w:pPr>
      <w:r>
        <w:rPr>
          <w:rFonts w:ascii="宋体" w:hAnsi="宋体"/>
          <w:bCs/>
          <w:szCs w:val="21"/>
        </w:rPr>
        <w:t>4</w:t>
      </w:r>
      <w:r>
        <w:rPr>
          <w:rFonts w:ascii="宋体" w:hAnsi="宋体" w:hint="eastAsia"/>
          <w:bCs/>
          <w:szCs w:val="21"/>
        </w:rPr>
        <w:t>、</w:t>
      </w:r>
      <w:r>
        <w:rPr>
          <w:rFonts w:ascii="宋体" w:hAnsi="宋体"/>
          <w:bCs/>
          <w:szCs w:val="21"/>
        </w:rPr>
        <w:t>赎回遵循</w:t>
      </w:r>
      <w:r>
        <w:rPr>
          <w:rFonts w:ascii="宋体" w:hAnsi="宋体" w:hint="eastAsia"/>
          <w:bCs/>
          <w:szCs w:val="21"/>
        </w:rPr>
        <w:t>“</w:t>
      </w:r>
      <w:r>
        <w:rPr>
          <w:rFonts w:ascii="宋体" w:hAnsi="宋体"/>
          <w:bCs/>
          <w:szCs w:val="21"/>
        </w:rPr>
        <w:t>先进先出</w:t>
      </w:r>
      <w:r>
        <w:rPr>
          <w:rFonts w:ascii="宋体" w:hAnsi="宋体" w:hint="eastAsia"/>
          <w:bCs/>
          <w:szCs w:val="21"/>
        </w:rPr>
        <w:t>”</w:t>
      </w:r>
      <w:r>
        <w:rPr>
          <w:rFonts w:ascii="宋体" w:hAnsi="宋体"/>
          <w:bCs/>
          <w:szCs w:val="21"/>
        </w:rPr>
        <w:t>原则，即按照投资人认购、申购的先后次序进行顺序赎回</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5、办理申购、赎回业务时，应当遵循基金份额持有人利益优先原则，确保投资者的合法权益不受损害并得到公平对待。</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基金管理人可在法律法规允许的情况下，对上述原则进行调整。基金管理人必须在新规则开始实施前依照《信息披露办法》的有关规定</w:t>
      </w:r>
      <w:r>
        <w:rPr>
          <w:rFonts w:ascii="宋体" w:hAnsi="宋体" w:hint="eastAsia"/>
          <w:bCs/>
          <w:szCs w:val="21"/>
        </w:rPr>
        <w:t>在规定媒介上</w:t>
      </w:r>
      <w:r>
        <w:rPr>
          <w:rFonts w:ascii="宋体" w:hAnsi="宋体"/>
          <w:bCs/>
          <w:szCs w:val="21"/>
        </w:rPr>
        <w:t>公告。</w:t>
      </w: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五</w:t>
      </w:r>
      <w:r>
        <w:rPr>
          <w:rFonts w:ascii="宋体" w:hAnsi="宋体"/>
          <w:b/>
          <w:sz w:val="21"/>
          <w:szCs w:val="21"/>
        </w:rPr>
        <w:t>、申购与赎回的程序</w:t>
      </w:r>
    </w:p>
    <w:p w:rsidR="00822B64" w:rsidRDefault="00E92BF7">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w:t>
      </w:r>
      <w:r>
        <w:rPr>
          <w:rFonts w:ascii="宋体" w:hAnsi="宋体"/>
          <w:bCs/>
          <w:szCs w:val="21"/>
        </w:rPr>
        <w:t>申购和赎回的申请方式</w:t>
      </w:r>
    </w:p>
    <w:p w:rsidR="00822B64" w:rsidRDefault="00E92BF7">
      <w:pPr>
        <w:snapToGrid w:val="0"/>
        <w:spacing w:line="360" w:lineRule="auto"/>
        <w:ind w:firstLineChars="200" w:firstLine="420"/>
        <w:rPr>
          <w:rFonts w:ascii="宋体" w:hAnsi="宋体"/>
          <w:bCs/>
          <w:szCs w:val="21"/>
        </w:rPr>
      </w:pPr>
      <w:r>
        <w:rPr>
          <w:rFonts w:ascii="宋体" w:hAnsi="宋体"/>
          <w:bCs/>
          <w:szCs w:val="21"/>
        </w:rPr>
        <w:t>投资人必须根据销售机构规定的程序，在开放日的具体业务办理时间内提出申购或赎回的申请。</w:t>
      </w:r>
    </w:p>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申购和赎回的款项支付</w:t>
      </w:r>
    </w:p>
    <w:p w:rsidR="00822B64" w:rsidRDefault="00E92BF7">
      <w:pPr>
        <w:snapToGrid w:val="0"/>
        <w:spacing w:line="360" w:lineRule="auto"/>
        <w:ind w:firstLineChars="200" w:firstLine="420"/>
        <w:rPr>
          <w:rFonts w:ascii="宋体" w:hAnsi="宋体"/>
          <w:bCs/>
          <w:szCs w:val="21"/>
        </w:rPr>
      </w:pPr>
      <w:r>
        <w:rPr>
          <w:rFonts w:ascii="宋体" w:hAnsi="宋体"/>
          <w:bCs/>
          <w:szCs w:val="21"/>
        </w:rPr>
        <w:t>投资人申购基金份额时，必须全额交付申购款项，投资人</w:t>
      </w:r>
      <w:r>
        <w:rPr>
          <w:rFonts w:ascii="宋体" w:hAnsi="宋体" w:hint="eastAsia"/>
          <w:bCs/>
          <w:szCs w:val="21"/>
        </w:rPr>
        <w:t>全额</w:t>
      </w:r>
      <w:r>
        <w:rPr>
          <w:rFonts w:ascii="宋体" w:hAnsi="宋体"/>
          <w:bCs/>
          <w:szCs w:val="21"/>
        </w:rPr>
        <w:t>交付</w:t>
      </w:r>
      <w:r>
        <w:rPr>
          <w:rFonts w:ascii="宋体" w:hAnsi="宋体" w:hint="eastAsia"/>
          <w:bCs/>
          <w:szCs w:val="21"/>
        </w:rPr>
        <w:t>申购</w:t>
      </w:r>
      <w:r>
        <w:rPr>
          <w:rFonts w:ascii="宋体" w:hAnsi="宋体"/>
          <w:bCs/>
          <w:szCs w:val="21"/>
        </w:rPr>
        <w:t>款项，申购</w:t>
      </w:r>
      <w:r>
        <w:rPr>
          <w:rFonts w:ascii="宋体" w:hAnsi="宋体" w:hint="eastAsia"/>
          <w:bCs/>
          <w:szCs w:val="21"/>
        </w:rPr>
        <w:t>成立；基金份额登记机构确认基金份额时，</w:t>
      </w:r>
      <w:r>
        <w:rPr>
          <w:rFonts w:ascii="宋体" w:hAnsi="宋体"/>
          <w:bCs/>
          <w:szCs w:val="21"/>
        </w:rPr>
        <w:t>申购</w:t>
      </w:r>
      <w:r>
        <w:rPr>
          <w:rFonts w:ascii="宋体" w:hAnsi="宋体" w:hint="eastAsia"/>
          <w:bCs/>
          <w:szCs w:val="21"/>
        </w:rPr>
        <w:t>生</w:t>
      </w:r>
      <w:r>
        <w:rPr>
          <w:rFonts w:ascii="宋体" w:hAnsi="宋体"/>
          <w:bCs/>
          <w:szCs w:val="21"/>
        </w:rPr>
        <w:t>效。</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基金份额持有人递交赎回申请，赎回成立；基金份额登记机构确认赎回时，赎回生效。</w:t>
      </w:r>
      <w:r>
        <w:rPr>
          <w:rFonts w:ascii="宋体" w:hAnsi="宋体"/>
          <w:bCs/>
          <w:szCs w:val="21"/>
        </w:rPr>
        <w:t>投资者赎回申请</w:t>
      </w:r>
      <w:r>
        <w:rPr>
          <w:rFonts w:ascii="宋体" w:hAnsi="宋体" w:hint="eastAsia"/>
          <w:bCs/>
          <w:szCs w:val="21"/>
        </w:rPr>
        <w:t>生效</w:t>
      </w:r>
      <w:r>
        <w:rPr>
          <w:rFonts w:ascii="宋体" w:hAnsi="宋体"/>
          <w:bCs/>
          <w:szCs w:val="21"/>
        </w:rPr>
        <w:t>后，基金管理人将在T＋7日</w:t>
      </w:r>
      <w:r>
        <w:rPr>
          <w:rFonts w:ascii="宋体" w:hAnsi="宋体" w:hint="eastAsia"/>
          <w:bCs/>
          <w:szCs w:val="21"/>
        </w:rPr>
        <w:t>（</w:t>
      </w:r>
      <w:r>
        <w:rPr>
          <w:rFonts w:ascii="宋体" w:hAnsi="宋体"/>
          <w:bCs/>
          <w:szCs w:val="21"/>
        </w:rPr>
        <w:t>包括该日</w:t>
      </w:r>
      <w:r>
        <w:rPr>
          <w:rFonts w:ascii="宋体" w:hAnsi="宋体" w:hint="eastAsia"/>
          <w:bCs/>
          <w:szCs w:val="21"/>
        </w:rPr>
        <w:t>）</w:t>
      </w:r>
      <w:r>
        <w:rPr>
          <w:rFonts w:ascii="宋体" w:hAnsi="宋体"/>
          <w:bCs/>
          <w:szCs w:val="21"/>
        </w:rPr>
        <w:t>内支付赎回款项。在发生巨额赎回</w:t>
      </w:r>
      <w:r>
        <w:rPr>
          <w:rFonts w:ascii="宋体" w:hAnsi="宋体" w:hint="eastAsia"/>
          <w:bCs/>
          <w:szCs w:val="21"/>
        </w:rPr>
        <w:t>或基金合同约定的其他暂停赎回或延缓支付赎回款项的情形</w:t>
      </w:r>
      <w:r>
        <w:rPr>
          <w:rFonts w:ascii="宋体" w:hAnsi="宋体"/>
          <w:bCs/>
          <w:szCs w:val="21"/>
        </w:rPr>
        <w:t>时，款项的支付办法参照基金合同有关条款处理。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如遇交易所或交易市场数据传输延迟、通讯系统故障、银行数据交换系统故障或其他非基金管理人及基金托管人所能控制的因素影响业务处理流程，则赎回款项划付时间相应顺</w:t>
      </w:r>
      <w:r>
        <w:rPr>
          <w:rFonts w:ascii="宋体" w:hAnsi="宋体" w:hint="eastAsia"/>
          <w:bCs/>
          <w:szCs w:val="21"/>
        </w:rPr>
        <w:lastRenderedPageBreak/>
        <w:t>延。</w:t>
      </w:r>
    </w:p>
    <w:p w:rsidR="00822B64" w:rsidRDefault="00E92BF7">
      <w:pPr>
        <w:snapToGrid w:val="0"/>
        <w:spacing w:line="360" w:lineRule="auto"/>
        <w:ind w:firstLineChars="200" w:firstLine="420"/>
        <w:rPr>
          <w:rFonts w:ascii="宋体" w:hAnsi="宋体"/>
          <w:bCs/>
          <w:szCs w:val="21"/>
        </w:rPr>
      </w:pPr>
      <w:r>
        <w:rPr>
          <w:rFonts w:ascii="宋体" w:hAnsi="宋体"/>
          <w:bCs/>
          <w:szCs w:val="21"/>
        </w:rPr>
        <w:t>3</w:t>
      </w:r>
      <w:r>
        <w:rPr>
          <w:rFonts w:ascii="宋体" w:hAnsi="宋体" w:hint="eastAsia"/>
          <w:bCs/>
          <w:szCs w:val="21"/>
        </w:rPr>
        <w:t>、</w:t>
      </w:r>
      <w:r>
        <w:rPr>
          <w:rFonts w:ascii="宋体" w:hAnsi="宋体"/>
          <w:bCs/>
          <w:szCs w:val="21"/>
        </w:rPr>
        <w:t>申购和赎回申请的确认</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基金管理人应以交易时间结束前受理</w:t>
      </w:r>
      <w:r>
        <w:rPr>
          <w:rFonts w:ascii="宋体" w:hAnsi="宋体" w:hint="eastAsia"/>
          <w:bCs/>
          <w:szCs w:val="21"/>
        </w:rPr>
        <w:t>有效</w:t>
      </w:r>
      <w:r>
        <w:rPr>
          <w:rFonts w:ascii="宋体" w:hAnsi="宋体"/>
          <w:bCs/>
          <w:szCs w:val="21"/>
        </w:rPr>
        <w:t>申购和赎回申请的当天作为申购或赎回申请日</w:t>
      </w:r>
      <w:r>
        <w:rPr>
          <w:rFonts w:ascii="宋体" w:hAnsi="宋体" w:hint="eastAsia"/>
          <w:bCs/>
          <w:szCs w:val="21"/>
        </w:rPr>
        <w:t>（</w:t>
      </w:r>
      <w:r>
        <w:rPr>
          <w:rFonts w:ascii="宋体" w:hAnsi="宋体"/>
          <w:bCs/>
          <w:szCs w:val="21"/>
        </w:rPr>
        <w:t>T日</w:t>
      </w:r>
      <w:r>
        <w:rPr>
          <w:rFonts w:ascii="宋体" w:hAnsi="宋体" w:hint="eastAsia"/>
          <w:bCs/>
          <w:szCs w:val="21"/>
        </w:rPr>
        <w:t>）</w:t>
      </w:r>
      <w:r>
        <w:rPr>
          <w:rFonts w:ascii="宋体" w:hAnsi="宋体"/>
          <w:bCs/>
          <w:szCs w:val="21"/>
        </w:rPr>
        <w:t>，在正常情况下，本基金登记机构在T+1日内对该交易的有效性进行确认。T日提交的有效申请，投资人</w:t>
      </w:r>
      <w:r>
        <w:rPr>
          <w:rFonts w:ascii="宋体" w:hAnsi="宋体" w:hint="eastAsia"/>
          <w:bCs/>
          <w:szCs w:val="21"/>
        </w:rPr>
        <w:t>应</w:t>
      </w:r>
      <w:r>
        <w:rPr>
          <w:rFonts w:ascii="宋体" w:hAnsi="宋体"/>
          <w:bCs/>
          <w:szCs w:val="21"/>
        </w:rPr>
        <w:t>在T+</w:t>
      </w:r>
      <w:r>
        <w:rPr>
          <w:rFonts w:ascii="宋体" w:hAnsi="宋体" w:hint="eastAsia"/>
          <w:bCs/>
          <w:szCs w:val="21"/>
        </w:rPr>
        <w:t>2</w:t>
      </w:r>
      <w:r>
        <w:rPr>
          <w:rFonts w:ascii="宋体" w:hAnsi="宋体"/>
          <w:bCs/>
          <w:szCs w:val="21"/>
        </w:rPr>
        <w:t>日后</w:t>
      </w:r>
      <w:r>
        <w:rPr>
          <w:rFonts w:ascii="宋体" w:hAnsi="宋体" w:hint="eastAsia"/>
          <w:bCs/>
          <w:szCs w:val="21"/>
        </w:rPr>
        <w:t>（</w:t>
      </w:r>
      <w:r>
        <w:rPr>
          <w:rFonts w:ascii="宋体" w:hAnsi="宋体"/>
          <w:bCs/>
          <w:szCs w:val="21"/>
        </w:rPr>
        <w:t>包括该日</w:t>
      </w:r>
      <w:r>
        <w:rPr>
          <w:rFonts w:ascii="宋体" w:hAnsi="宋体" w:hint="eastAsia"/>
          <w:bCs/>
          <w:szCs w:val="21"/>
        </w:rPr>
        <w:t>）及时</w:t>
      </w:r>
      <w:r>
        <w:rPr>
          <w:rFonts w:ascii="宋体" w:hAnsi="宋体"/>
          <w:bCs/>
          <w:szCs w:val="21"/>
        </w:rPr>
        <w:t>到销售网点柜台或以销售机构规定的其他方式查询申请的确认情况。若申购不成功</w:t>
      </w:r>
      <w:r>
        <w:rPr>
          <w:rFonts w:ascii="宋体" w:hAnsi="宋体" w:hint="eastAsia"/>
          <w:bCs/>
          <w:szCs w:val="21"/>
        </w:rPr>
        <w:t>或</w:t>
      </w:r>
      <w:r>
        <w:rPr>
          <w:rFonts w:ascii="宋体" w:hAnsi="宋体"/>
          <w:bCs/>
          <w:szCs w:val="21"/>
        </w:rPr>
        <w:t>无效，则申购款项</w:t>
      </w:r>
      <w:r>
        <w:rPr>
          <w:rFonts w:ascii="宋体" w:hAnsi="宋体" w:hint="eastAsia"/>
          <w:bCs/>
          <w:szCs w:val="21"/>
        </w:rPr>
        <w:t>本金</w:t>
      </w:r>
      <w:r>
        <w:rPr>
          <w:rFonts w:ascii="宋体" w:hAnsi="宋体"/>
          <w:bCs/>
          <w:szCs w:val="21"/>
        </w:rPr>
        <w:t>退还给投资人。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销售机构对申购、赎回申请的受理并不代表申请一定成功，而仅代表销售机构确实接收到申请。申购、赎回申请的确认以登记机构的确认结果为准。对于申请的确认情况，投资者应及时查询并妥善行使合法权利，否则，由此产生的投资者任何损失由投资者自行承担。</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基金管理人可以在法律法规和基金合同允许的范围内，对上述业务办理时间进行调整，并在调整实施前依照《信息披露办法》的有关规定在规定媒介上公告。</w:t>
      </w: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六、申购与赎回的数量限制</w:t>
      </w:r>
    </w:p>
    <w:p w:rsidR="00822B64" w:rsidRDefault="00E92BF7">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本基金首次申购和追加申购的最低金额均为1元（含申购费），各销售机构在符合上述规定的前提下，可根据情况调高首次申购和追加申购的最低金额，具体以销售机构公布的为准，投资人需遵循销售机构的相关规定。本基金单笔赎回申请不低于1份，投资人全额赎回时不受上述限制。各销售机构在符合上述规定的前提下，可根据情况调高单笔最低赎回份额要求，具体以销售机构公布的为准，投资人需遵循销售机构的相关规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rsidR="00822B64" w:rsidRDefault="00E92BF7">
      <w:pPr>
        <w:snapToGrid w:val="0"/>
        <w:spacing w:line="360" w:lineRule="auto"/>
        <w:ind w:firstLineChars="200" w:firstLine="420"/>
        <w:rPr>
          <w:rFonts w:ascii="宋体" w:hAnsi="宋体"/>
          <w:bCs/>
          <w:szCs w:val="21"/>
        </w:rPr>
      </w:pPr>
      <w:r>
        <w:rPr>
          <w:rFonts w:ascii="宋体" w:hAnsi="宋体"/>
          <w:bCs/>
          <w:szCs w:val="21"/>
        </w:rPr>
        <w:t>3、</w:t>
      </w:r>
      <w:r>
        <w:rPr>
          <w:rFonts w:ascii="宋体" w:hAnsi="宋体" w:hint="eastAsia"/>
          <w:bCs/>
          <w:szCs w:val="21"/>
        </w:rPr>
        <w:t>本基金不对投资</w:t>
      </w:r>
      <w:r>
        <w:rPr>
          <w:rFonts w:ascii="宋体" w:hAnsi="宋体"/>
          <w:szCs w:val="21"/>
        </w:rPr>
        <w:t>人</w:t>
      </w:r>
      <w:r>
        <w:rPr>
          <w:rFonts w:ascii="宋体" w:hAnsi="宋体" w:hint="eastAsia"/>
          <w:bCs/>
          <w:szCs w:val="21"/>
        </w:rPr>
        <w:t>每个基金交易账户的最低基金份额余额进行限制；</w:t>
      </w:r>
    </w:p>
    <w:p w:rsidR="00822B64" w:rsidRDefault="00E92BF7">
      <w:pPr>
        <w:snapToGrid w:val="0"/>
        <w:spacing w:line="360" w:lineRule="auto"/>
        <w:ind w:firstLineChars="200" w:firstLine="420"/>
        <w:rPr>
          <w:rFonts w:ascii="宋体" w:hAnsi="宋体"/>
          <w:bCs/>
          <w:szCs w:val="21"/>
        </w:rPr>
      </w:pPr>
      <w:r>
        <w:rPr>
          <w:rFonts w:ascii="宋体" w:hAnsi="宋体"/>
          <w:bCs/>
          <w:szCs w:val="21"/>
        </w:rPr>
        <w:t>4、本</w:t>
      </w:r>
      <w:r>
        <w:rPr>
          <w:rFonts w:ascii="宋体" w:hAnsi="宋体" w:hint="eastAsia"/>
          <w:bCs/>
          <w:szCs w:val="21"/>
        </w:rPr>
        <w:t>基金不对单个投资</w:t>
      </w:r>
      <w:r>
        <w:rPr>
          <w:rFonts w:ascii="宋体" w:hAnsi="宋体"/>
          <w:szCs w:val="21"/>
        </w:rPr>
        <w:t>人</w:t>
      </w:r>
      <w:r>
        <w:rPr>
          <w:rFonts w:ascii="宋体" w:hAnsi="宋体" w:hint="eastAsia"/>
          <w:bCs/>
          <w:szCs w:val="21"/>
        </w:rPr>
        <w:t>累计持有的基金份额上限进行限制，但法律法规或有权机关另有规定的除外；但本基金单一持有人持有基金份额数不得达到或超过基金份额总数的</w:t>
      </w:r>
      <w:r>
        <w:rPr>
          <w:rFonts w:ascii="宋体" w:hAnsi="宋体"/>
          <w:bCs/>
          <w:szCs w:val="21"/>
        </w:rPr>
        <w:t>50</w:t>
      </w:r>
      <w:r>
        <w:rPr>
          <w:rFonts w:ascii="宋体" w:hAnsi="宋体" w:hint="eastAsia"/>
          <w:bCs/>
          <w:szCs w:val="21"/>
        </w:rPr>
        <w:t>%（运作过程中，因基金份额赎回等情形导致被动达到或超过5</w:t>
      </w:r>
      <w:r>
        <w:rPr>
          <w:rFonts w:ascii="宋体" w:hAnsi="宋体"/>
          <w:bCs/>
          <w:szCs w:val="21"/>
        </w:rPr>
        <w:t>0</w:t>
      </w:r>
      <w:r>
        <w:rPr>
          <w:rFonts w:ascii="宋体" w:hAnsi="宋体" w:hint="eastAsia"/>
          <w:bCs/>
          <w:szCs w:val="21"/>
        </w:rPr>
        <w:t>%</w:t>
      </w:r>
      <w:r>
        <w:rPr>
          <w:rFonts w:ascii="宋体" w:hAnsi="宋体"/>
          <w:bCs/>
          <w:szCs w:val="21"/>
        </w:rPr>
        <w:t>的除外</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5、基金管理人可以规定单个投资人累计持有的基金份额上限、单日或单笔申购金额上限，以及本基金的总规模限额、单日申购金额上限和净申购比例上限，</w:t>
      </w:r>
      <w:r>
        <w:rPr>
          <w:rFonts w:ascii="宋体" w:hAnsi="宋体"/>
          <w:bCs/>
          <w:szCs w:val="21"/>
        </w:rPr>
        <w:t>具体规定请参见</w:t>
      </w:r>
      <w:r>
        <w:rPr>
          <w:rFonts w:ascii="宋体" w:hAnsi="宋体" w:hint="eastAsia"/>
          <w:bCs/>
          <w:szCs w:val="21"/>
        </w:rPr>
        <w:t>相关公告；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6、</w:t>
      </w:r>
      <w:r>
        <w:rPr>
          <w:rFonts w:ascii="宋体" w:hAnsi="宋体"/>
          <w:bCs/>
          <w:szCs w:val="21"/>
        </w:rPr>
        <w:t>基金管理人可在法律法规允许的情况下，调整上述规定申购金额和赎回份额</w:t>
      </w:r>
      <w:r>
        <w:rPr>
          <w:rFonts w:ascii="宋体" w:hAnsi="宋体" w:hint="eastAsia"/>
          <w:bCs/>
          <w:szCs w:val="21"/>
        </w:rPr>
        <w:t>的</w:t>
      </w:r>
      <w:r>
        <w:rPr>
          <w:rFonts w:ascii="宋体" w:hAnsi="宋体"/>
          <w:bCs/>
          <w:szCs w:val="21"/>
        </w:rPr>
        <w:t>数量限制</w:t>
      </w:r>
      <w:r>
        <w:rPr>
          <w:rFonts w:ascii="宋体" w:hAnsi="宋体" w:hint="eastAsia"/>
          <w:bCs/>
          <w:szCs w:val="21"/>
        </w:rPr>
        <w:t>或新增基金规模控制措施</w:t>
      </w:r>
      <w:r>
        <w:rPr>
          <w:rFonts w:ascii="宋体" w:hAnsi="宋体"/>
          <w:bCs/>
          <w:szCs w:val="21"/>
        </w:rPr>
        <w:t>。基金管理人必须在调整前依照《信息披露办法》的有关规定在规定媒介上公告。</w:t>
      </w:r>
    </w:p>
    <w:p w:rsidR="00822B64" w:rsidRDefault="00822B64">
      <w:pPr>
        <w:snapToGrid w:val="0"/>
        <w:spacing w:line="360" w:lineRule="auto"/>
        <w:ind w:firstLineChars="200" w:firstLine="420"/>
        <w:rPr>
          <w:rFonts w:ascii="宋体" w:hAnsi="宋体"/>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七、申购费用和赎回费用</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 本基金的申购费用由投资人承担，不列入基金资产，主要用于基金的市场推广、销</w:t>
      </w:r>
      <w:r>
        <w:rPr>
          <w:rFonts w:ascii="宋体" w:hAnsi="宋体" w:hint="eastAsia"/>
          <w:szCs w:val="21"/>
        </w:rPr>
        <w:lastRenderedPageBreak/>
        <w:t>售、登记等各项费用。</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2、本基金的申购费率按照申购金额的增加而递减，登记机构根据单笔申购的实际确认金额确定每笔申购所适用的费率并分别计算。</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本基金的申购费率如下：</w:t>
      </w:r>
    </w:p>
    <w:tbl>
      <w:tblPr>
        <w:tblW w:w="6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9"/>
        <w:gridCol w:w="3235"/>
      </w:tblGrid>
      <w:tr w:rsidR="00822B64">
        <w:trPr>
          <w:trHeight w:val="442"/>
          <w:jc w:val="center"/>
        </w:trPr>
        <w:tc>
          <w:tcPr>
            <w:tcW w:w="2849" w:type="dxa"/>
            <w:vAlign w:val="center"/>
          </w:tcPr>
          <w:p w:rsidR="00822B64" w:rsidRDefault="00E92BF7">
            <w:pPr>
              <w:snapToGrid w:val="0"/>
              <w:spacing w:line="360" w:lineRule="auto"/>
              <w:jc w:val="center"/>
              <w:rPr>
                <w:rFonts w:ascii="宋体" w:hAnsi="宋体"/>
                <w:szCs w:val="21"/>
              </w:rPr>
            </w:pPr>
            <w:r>
              <w:rPr>
                <w:rFonts w:ascii="宋体" w:hAnsi="宋体"/>
                <w:szCs w:val="21"/>
              </w:rPr>
              <w:t>申购金额（M）</w:t>
            </w:r>
          </w:p>
        </w:tc>
        <w:tc>
          <w:tcPr>
            <w:tcW w:w="3235" w:type="dxa"/>
            <w:vAlign w:val="center"/>
          </w:tcPr>
          <w:p w:rsidR="00822B64" w:rsidRDefault="00E92BF7">
            <w:pPr>
              <w:snapToGrid w:val="0"/>
              <w:spacing w:line="360" w:lineRule="auto"/>
              <w:jc w:val="center"/>
              <w:rPr>
                <w:rFonts w:ascii="宋体" w:hAnsi="宋体"/>
                <w:szCs w:val="21"/>
              </w:rPr>
            </w:pPr>
            <w:r>
              <w:rPr>
                <w:rFonts w:ascii="宋体" w:hAnsi="宋体"/>
                <w:szCs w:val="21"/>
              </w:rPr>
              <w:t>申购费率</w:t>
            </w:r>
          </w:p>
        </w:tc>
      </w:tr>
      <w:tr w:rsidR="00822B64">
        <w:tblPrEx>
          <w:tblBorders>
            <w:insideH w:val="none" w:sz="0" w:space="0" w:color="auto"/>
            <w:insideV w:val="none" w:sz="0" w:space="0" w:color="auto"/>
          </w:tblBorders>
        </w:tblPrEx>
        <w:trPr>
          <w:trHeight w:val="461"/>
          <w:jc w:val="center"/>
        </w:trPr>
        <w:tc>
          <w:tcPr>
            <w:tcW w:w="2849"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M</w:t>
            </w:r>
            <w:r>
              <w:rPr>
                <w:rFonts w:ascii="宋体" w:hAnsi="宋体" w:hint="eastAsia"/>
                <w:szCs w:val="21"/>
              </w:rPr>
              <w:t>＜</w:t>
            </w:r>
            <w:r>
              <w:rPr>
                <w:rFonts w:ascii="宋体" w:hAnsi="宋体"/>
                <w:szCs w:val="21"/>
              </w:rPr>
              <w:t>100</w:t>
            </w:r>
            <w:r>
              <w:rPr>
                <w:rFonts w:ascii="宋体" w:hAnsi="宋体" w:hint="eastAsia"/>
                <w:szCs w:val="21"/>
              </w:rPr>
              <w:t>万</w:t>
            </w:r>
          </w:p>
        </w:tc>
        <w:tc>
          <w:tcPr>
            <w:tcW w:w="3235"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0.8</w:t>
            </w:r>
            <w:r>
              <w:rPr>
                <w:rFonts w:ascii="宋体" w:hAnsi="宋体" w:hint="eastAsia"/>
                <w:szCs w:val="21"/>
              </w:rPr>
              <w:t>%</w:t>
            </w:r>
          </w:p>
        </w:tc>
      </w:tr>
      <w:tr w:rsidR="00822B64">
        <w:tblPrEx>
          <w:tblBorders>
            <w:insideH w:val="none" w:sz="0" w:space="0" w:color="auto"/>
            <w:insideV w:val="none" w:sz="0" w:space="0" w:color="auto"/>
          </w:tblBorders>
        </w:tblPrEx>
        <w:trPr>
          <w:trHeight w:val="465"/>
          <w:jc w:val="center"/>
        </w:trPr>
        <w:tc>
          <w:tcPr>
            <w:tcW w:w="2849"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100万≤M＜200万</w:t>
            </w:r>
          </w:p>
        </w:tc>
        <w:tc>
          <w:tcPr>
            <w:tcW w:w="3235"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0.6%</w:t>
            </w:r>
          </w:p>
        </w:tc>
      </w:tr>
      <w:tr w:rsidR="00822B64">
        <w:tblPrEx>
          <w:tblBorders>
            <w:insideH w:val="none" w:sz="0" w:space="0" w:color="auto"/>
            <w:insideV w:val="none" w:sz="0" w:space="0" w:color="auto"/>
          </w:tblBorders>
        </w:tblPrEx>
        <w:trPr>
          <w:trHeight w:val="465"/>
          <w:jc w:val="center"/>
        </w:trPr>
        <w:tc>
          <w:tcPr>
            <w:tcW w:w="2849"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200</w:t>
            </w:r>
            <w:r>
              <w:rPr>
                <w:rFonts w:ascii="宋体" w:hAnsi="宋体" w:hint="eastAsia"/>
                <w:szCs w:val="21"/>
              </w:rPr>
              <w:t>万</w:t>
            </w:r>
            <w:r>
              <w:rPr>
                <w:rFonts w:ascii="宋体" w:hAnsi="宋体"/>
                <w:szCs w:val="21"/>
              </w:rPr>
              <w:t>≤M＜500</w:t>
            </w:r>
            <w:r>
              <w:rPr>
                <w:rFonts w:ascii="宋体" w:hAnsi="宋体" w:hint="eastAsia"/>
                <w:szCs w:val="21"/>
              </w:rPr>
              <w:t>万</w:t>
            </w:r>
          </w:p>
        </w:tc>
        <w:tc>
          <w:tcPr>
            <w:tcW w:w="3235"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0.4%</w:t>
            </w:r>
          </w:p>
        </w:tc>
      </w:tr>
      <w:tr w:rsidR="00822B64">
        <w:tblPrEx>
          <w:tblBorders>
            <w:insideH w:val="none" w:sz="0" w:space="0" w:color="auto"/>
            <w:insideV w:val="none" w:sz="0" w:space="0" w:color="auto"/>
          </w:tblBorders>
        </w:tblPrEx>
        <w:trPr>
          <w:trHeight w:val="451"/>
          <w:jc w:val="center"/>
        </w:trPr>
        <w:tc>
          <w:tcPr>
            <w:tcW w:w="2849"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szCs w:val="21"/>
              </w:rPr>
              <w:t>M</w:t>
            </w:r>
            <w:r>
              <w:rPr>
                <w:rFonts w:ascii="宋体" w:hAnsi="宋体" w:hint="eastAsia"/>
                <w:szCs w:val="21"/>
              </w:rPr>
              <w:t>≥500万</w:t>
            </w:r>
          </w:p>
        </w:tc>
        <w:tc>
          <w:tcPr>
            <w:tcW w:w="3235" w:type="dxa"/>
            <w:tcBorders>
              <w:top w:val="single" w:sz="4" w:space="0" w:color="auto"/>
              <w:left w:val="single" w:sz="4" w:space="0" w:color="auto"/>
              <w:bottom w:val="single" w:sz="4" w:space="0" w:color="auto"/>
              <w:right w:val="single" w:sz="4" w:space="0" w:color="auto"/>
            </w:tcBorders>
            <w:vAlign w:val="center"/>
          </w:tcPr>
          <w:p w:rsidR="00822B64" w:rsidRDefault="00E92BF7">
            <w:pPr>
              <w:snapToGrid w:val="0"/>
              <w:spacing w:line="360" w:lineRule="auto"/>
              <w:jc w:val="center"/>
              <w:rPr>
                <w:rFonts w:ascii="宋体" w:hAnsi="宋体"/>
                <w:szCs w:val="21"/>
              </w:rPr>
            </w:pPr>
            <w:r>
              <w:rPr>
                <w:rFonts w:ascii="宋体" w:hAnsi="宋体" w:hint="eastAsia"/>
                <w:szCs w:val="21"/>
              </w:rPr>
              <w:t>按笔收取，1000元/笔</w:t>
            </w:r>
          </w:p>
        </w:tc>
      </w:tr>
    </w:tbl>
    <w:p w:rsidR="00822B64" w:rsidRDefault="00E92BF7">
      <w:pPr>
        <w:snapToGrid w:val="0"/>
        <w:spacing w:line="360" w:lineRule="auto"/>
        <w:ind w:firstLineChars="200" w:firstLine="420"/>
        <w:rPr>
          <w:rFonts w:ascii="宋体" w:hAnsi="宋体"/>
          <w:szCs w:val="21"/>
        </w:rPr>
      </w:pPr>
      <w:r>
        <w:rPr>
          <w:rFonts w:ascii="宋体" w:hAnsi="宋体" w:hint="eastAsia"/>
          <w:szCs w:val="21"/>
        </w:rPr>
        <w:t>2、</w:t>
      </w:r>
      <w:r>
        <w:rPr>
          <w:rFonts w:ascii="宋体" w:hAnsi="宋体"/>
          <w:szCs w:val="21"/>
        </w:rPr>
        <w:t xml:space="preserve">本基金赎回费用由赎回基金份额的基金份额持有人承担，在基金份额持有人赎回基金份额时收取。 </w:t>
      </w:r>
    </w:p>
    <w:p w:rsidR="00822B64" w:rsidRDefault="00E92BF7">
      <w:pPr>
        <w:snapToGrid w:val="0"/>
        <w:spacing w:line="360" w:lineRule="auto"/>
        <w:ind w:firstLineChars="200" w:firstLine="420"/>
        <w:rPr>
          <w:rFonts w:ascii="宋体" w:hAnsi="宋体"/>
          <w:szCs w:val="21"/>
        </w:rPr>
      </w:pPr>
      <w:r>
        <w:rPr>
          <w:rFonts w:ascii="宋体" w:hAnsi="宋体"/>
          <w:szCs w:val="21"/>
        </w:rPr>
        <w:t>赎回费率随申请赎回的基金份额持有期限的增加而递减，具体费率如下：</w:t>
      </w:r>
    </w:p>
    <w:tbl>
      <w:tblPr>
        <w:tblStyle w:val="affd"/>
        <w:tblW w:w="4819" w:type="dxa"/>
        <w:jc w:val="center"/>
        <w:tblLayout w:type="fixed"/>
        <w:tblLook w:val="04A0" w:firstRow="1" w:lastRow="0" w:firstColumn="1" w:lastColumn="0" w:noHBand="0" w:noVBand="1"/>
      </w:tblPr>
      <w:tblGrid>
        <w:gridCol w:w="3082"/>
        <w:gridCol w:w="1737"/>
      </w:tblGrid>
      <w:tr w:rsidR="00822B64">
        <w:trPr>
          <w:trHeight w:val="309"/>
          <w:jc w:val="center"/>
        </w:trPr>
        <w:tc>
          <w:tcPr>
            <w:tcW w:w="3082"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申请份额持有时间（T）</w:t>
            </w:r>
          </w:p>
        </w:tc>
        <w:tc>
          <w:tcPr>
            <w:tcW w:w="1737"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赎回费率</w:t>
            </w:r>
          </w:p>
        </w:tc>
      </w:tr>
      <w:tr w:rsidR="00822B64">
        <w:trPr>
          <w:trHeight w:val="468"/>
          <w:jc w:val="center"/>
        </w:trPr>
        <w:tc>
          <w:tcPr>
            <w:tcW w:w="3082"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T</w:t>
            </w:r>
            <w:r>
              <w:rPr>
                <w:rFonts w:ascii="宋体" w:hAnsi="宋体"/>
                <w:szCs w:val="21"/>
              </w:rPr>
              <w:t>＜7</w:t>
            </w:r>
            <w:r>
              <w:rPr>
                <w:rFonts w:ascii="宋体" w:hAnsi="宋体" w:hint="eastAsia"/>
                <w:szCs w:val="21"/>
              </w:rPr>
              <w:t>日</w:t>
            </w:r>
          </w:p>
        </w:tc>
        <w:tc>
          <w:tcPr>
            <w:tcW w:w="1737"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1</w:t>
            </w:r>
            <w:r>
              <w:rPr>
                <w:rFonts w:ascii="宋体" w:hAnsi="宋体"/>
                <w:szCs w:val="21"/>
              </w:rPr>
              <w:t>.5%</w:t>
            </w:r>
          </w:p>
        </w:tc>
      </w:tr>
      <w:tr w:rsidR="00822B64">
        <w:trPr>
          <w:trHeight w:val="468"/>
          <w:jc w:val="center"/>
        </w:trPr>
        <w:tc>
          <w:tcPr>
            <w:tcW w:w="3082" w:type="dxa"/>
            <w:vAlign w:val="center"/>
          </w:tcPr>
          <w:p w:rsidR="00822B64" w:rsidRDefault="00E92BF7">
            <w:pPr>
              <w:snapToGrid w:val="0"/>
              <w:spacing w:line="360" w:lineRule="auto"/>
              <w:jc w:val="center"/>
              <w:rPr>
                <w:rFonts w:ascii="宋体" w:hAnsi="宋体"/>
                <w:szCs w:val="21"/>
              </w:rPr>
            </w:pPr>
            <w:r>
              <w:rPr>
                <w:rFonts w:ascii="宋体" w:hAnsi="宋体"/>
                <w:szCs w:val="21"/>
              </w:rPr>
              <w:t>7</w:t>
            </w:r>
            <w:r>
              <w:rPr>
                <w:rFonts w:ascii="宋体" w:hAnsi="宋体" w:hint="eastAsia"/>
                <w:szCs w:val="21"/>
              </w:rPr>
              <w:t>日</w:t>
            </w:r>
            <w:r>
              <w:rPr>
                <w:rFonts w:ascii="宋体" w:hAnsi="宋体"/>
                <w:szCs w:val="21"/>
              </w:rPr>
              <w:t>≤</w:t>
            </w:r>
            <w:r>
              <w:rPr>
                <w:rFonts w:ascii="宋体" w:hAnsi="宋体" w:hint="eastAsia"/>
                <w:szCs w:val="21"/>
              </w:rPr>
              <w:t>T</w:t>
            </w:r>
            <w:r>
              <w:rPr>
                <w:rFonts w:ascii="宋体" w:hAnsi="宋体"/>
                <w:szCs w:val="21"/>
              </w:rPr>
              <w:t>＜30</w:t>
            </w:r>
            <w:r>
              <w:rPr>
                <w:rFonts w:ascii="宋体" w:hAnsi="宋体" w:hint="eastAsia"/>
                <w:szCs w:val="21"/>
              </w:rPr>
              <w:t>日</w:t>
            </w:r>
          </w:p>
        </w:tc>
        <w:tc>
          <w:tcPr>
            <w:tcW w:w="1737"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0</w:t>
            </w:r>
            <w:r>
              <w:rPr>
                <w:rFonts w:ascii="宋体" w:hAnsi="宋体"/>
                <w:szCs w:val="21"/>
              </w:rPr>
              <w:t>.1%</w:t>
            </w:r>
          </w:p>
        </w:tc>
      </w:tr>
      <w:tr w:rsidR="00822B64">
        <w:trPr>
          <w:trHeight w:val="468"/>
          <w:jc w:val="center"/>
        </w:trPr>
        <w:tc>
          <w:tcPr>
            <w:tcW w:w="3082"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T≥</w:t>
            </w:r>
            <w:r>
              <w:rPr>
                <w:rFonts w:ascii="宋体" w:hAnsi="宋体"/>
                <w:szCs w:val="21"/>
              </w:rPr>
              <w:t>30</w:t>
            </w:r>
            <w:r>
              <w:rPr>
                <w:rFonts w:ascii="宋体" w:hAnsi="宋体" w:hint="eastAsia"/>
                <w:szCs w:val="21"/>
              </w:rPr>
              <w:t>日</w:t>
            </w:r>
          </w:p>
        </w:tc>
        <w:tc>
          <w:tcPr>
            <w:tcW w:w="1737" w:type="dxa"/>
            <w:vAlign w:val="center"/>
          </w:tcPr>
          <w:p w:rsidR="00822B64" w:rsidRDefault="00E92BF7">
            <w:pPr>
              <w:snapToGrid w:val="0"/>
              <w:spacing w:line="360" w:lineRule="auto"/>
              <w:jc w:val="center"/>
              <w:rPr>
                <w:rFonts w:ascii="宋体" w:hAnsi="宋体"/>
                <w:szCs w:val="21"/>
              </w:rPr>
            </w:pPr>
            <w:r>
              <w:rPr>
                <w:rFonts w:ascii="宋体" w:hAnsi="宋体" w:hint="eastAsia"/>
                <w:szCs w:val="21"/>
              </w:rPr>
              <w:t>0</w:t>
            </w:r>
          </w:p>
        </w:tc>
      </w:tr>
    </w:tbl>
    <w:p w:rsidR="00822B64" w:rsidRDefault="00E92BF7">
      <w:pPr>
        <w:snapToGrid w:val="0"/>
        <w:spacing w:line="360" w:lineRule="auto"/>
        <w:ind w:firstLineChars="200" w:firstLine="420"/>
        <w:rPr>
          <w:rFonts w:ascii="宋体" w:hAnsi="宋体"/>
          <w:szCs w:val="21"/>
        </w:rPr>
      </w:pPr>
      <w:r>
        <w:rPr>
          <w:rFonts w:ascii="宋体" w:hAnsi="宋体" w:hint="eastAsia"/>
          <w:szCs w:val="21"/>
        </w:rPr>
        <w:t>投资人可将其持有的全部或部分基金份额赎回。对于持续</w:t>
      </w:r>
      <w:r>
        <w:rPr>
          <w:rFonts w:ascii="宋体" w:hAnsi="宋体"/>
          <w:szCs w:val="21"/>
        </w:rPr>
        <w:t>持有</w:t>
      </w:r>
      <w:r>
        <w:rPr>
          <w:rFonts w:ascii="宋体" w:hAnsi="宋体" w:hint="eastAsia"/>
          <w:szCs w:val="21"/>
        </w:rPr>
        <w:t>期</w:t>
      </w:r>
      <w:r>
        <w:rPr>
          <w:rFonts w:ascii="宋体" w:hAnsi="宋体"/>
          <w:szCs w:val="21"/>
        </w:rPr>
        <w:t>少于7日的</w:t>
      </w:r>
      <w:r>
        <w:rPr>
          <w:rFonts w:ascii="宋体" w:hAnsi="宋体" w:hint="eastAsia"/>
          <w:szCs w:val="21"/>
        </w:rPr>
        <w:t>投资者，收取的</w:t>
      </w:r>
      <w:r>
        <w:rPr>
          <w:rFonts w:ascii="宋体" w:hAnsi="宋体"/>
          <w:szCs w:val="21"/>
        </w:rPr>
        <w:t>赎回费全额归入基金财产</w:t>
      </w:r>
      <w:r>
        <w:rPr>
          <w:rFonts w:ascii="宋体" w:hAnsi="宋体" w:hint="eastAsia"/>
          <w:szCs w:val="21"/>
        </w:rPr>
        <w:t>；</w:t>
      </w:r>
      <w:r>
        <w:rPr>
          <w:rFonts w:ascii="宋体" w:hAnsi="宋体"/>
          <w:szCs w:val="21"/>
        </w:rPr>
        <w:t>对于持续持有期不少于7日且少于</w:t>
      </w:r>
      <w:r>
        <w:rPr>
          <w:rFonts w:ascii="宋体" w:hAnsi="宋体" w:hint="eastAsia"/>
          <w:szCs w:val="21"/>
        </w:rPr>
        <w:t>3</w:t>
      </w:r>
      <w:r>
        <w:rPr>
          <w:rFonts w:ascii="宋体" w:hAnsi="宋体"/>
          <w:szCs w:val="21"/>
        </w:rPr>
        <w:t>0日的投资者，赎回费总额的25%计入基金财产，未计入基金财产的部分用于支付登记费和其他必要的手续费。</w:t>
      </w:r>
    </w:p>
    <w:p w:rsidR="00822B64" w:rsidRDefault="00E92BF7">
      <w:pPr>
        <w:snapToGrid w:val="0"/>
        <w:spacing w:line="360" w:lineRule="auto"/>
        <w:ind w:firstLineChars="200" w:firstLine="420"/>
        <w:rPr>
          <w:rFonts w:ascii="宋体" w:hAnsi="宋体"/>
          <w:szCs w:val="21"/>
        </w:rPr>
      </w:pPr>
      <w:r>
        <w:rPr>
          <w:rFonts w:ascii="宋体" w:hAnsi="宋体"/>
          <w:szCs w:val="21"/>
        </w:rPr>
        <w:t>3、基金管理人可以在</w:t>
      </w:r>
      <w:r>
        <w:rPr>
          <w:rFonts w:ascii="宋体" w:hAnsi="宋体" w:hint="eastAsia"/>
          <w:szCs w:val="21"/>
        </w:rPr>
        <w:t>《</w:t>
      </w:r>
      <w:r>
        <w:rPr>
          <w:rFonts w:ascii="宋体" w:hAnsi="宋体"/>
          <w:szCs w:val="21"/>
        </w:rPr>
        <w:t>基金合同</w:t>
      </w:r>
      <w:r>
        <w:rPr>
          <w:rFonts w:ascii="宋体" w:hAnsi="宋体" w:hint="eastAsia"/>
          <w:szCs w:val="21"/>
        </w:rPr>
        <w:t>》</w:t>
      </w:r>
      <w:r>
        <w:rPr>
          <w:rFonts w:ascii="宋体" w:hAnsi="宋体"/>
          <w:szCs w:val="21"/>
        </w:rPr>
        <w:t>约定的范围内调整费率或收费方式，</w:t>
      </w:r>
      <w:r>
        <w:rPr>
          <w:rFonts w:ascii="宋体" w:hAnsi="宋体" w:hint="eastAsia"/>
          <w:szCs w:val="21"/>
        </w:rPr>
        <w:t>并</w:t>
      </w:r>
      <w:r>
        <w:rPr>
          <w:rFonts w:ascii="宋体" w:hAnsi="宋体"/>
          <w:szCs w:val="21"/>
        </w:rPr>
        <w:t>最迟应于新的费率或收费方式实施</w:t>
      </w:r>
      <w:r>
        <w:rPr>
          <w:rFonts w:ascii="宋体" w:hAnsi="宋体" w:hint="eastAsia"/>
          <w:szCs w:val="21"/>
        </w:rPr>
        <w:t>日</w:t>
      </w:r>
      <w:r>
        <w:rPr>
          <w:rFonts w:ascii="宋体" w:hAnsi="宋体"/>
          <w:szCs w:val="21"/>
        </w:rPr>
        <w:t>前</w:t>
      </w:r>
      <w:r>
        <w:rPr>
          <w:rFonts w:ascii="宋体" w:hAnsi="宋体" w:hint="eastAsia"/>
          <w:szCs w:val="21"/>
        </w:rPr>
        <w:t>依照《信息披露办法》的有关规定</w:t>
      </w:r>
      <w:r>
        <w:rPr>
          <w:rFonts w:ascii="宋体" w:hAnsi="宋体"/>
          <w:szCs w:val="21"/>
        </w:rPr>
        <w:t>在规定媒介</w:t>
      </w:r>
      <w:r>
        <w:rPr>
          <w:rFonts w:ascii="宋体" w:hAnsi="宋体" w:hint="eastAsia"/>
          <w:szCs w:val="21"/>
        </w:rPr>
        <w:t>上</w:t>
      </w:r>
      <w:r>
        <w:rPr>
          <w:rFonts w:ascii="宋体" w:hAnsi="宋体"/>
          <w:szCs w:val="21"/>
        </w:rPr>
        <w:t>公告。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在法律法规规定和《基金合同》约定的范围内且对基金份额持有人利益无实质性不利影响的前提下，</w:t>
      </w:r>
      <w:r>
        <w:rPr>
          <w:rFonts w:ascii="宋体" w:hAnsi="宋体" w:hint="eastAsia"/>
          <w:bCs/>
          <w:szCs w:val="21"/>
        </w:rPr>
        <w:t>基金管理人可以根据市场情况制定基金促销计划，定期或不定期地开展基金促销活动。在基金促销活动期间，按相关监管部门要求履行必要手续后，基金管理人可以适当调低基金申购费率和基金赎回费率，或针对特定渠道、特定投资群体开展有差别的费率优惠活动，并进行公告。</w:t>
      </w:r>
    </w:p>
    <w:p w:rsidR="00822B64" w:rsidRDefault="00822B64">
      <w:pPr>
        <w:snapToGrid w:val="0"/>
        <w:spacing w:line="360" w:lineRule="auto"/>
        <w:ind w:firstLineChars="200" w:firstLine="420"/>
        <w:rPr>
          <w:rFonts w:ascii="宋体" w:hAnsi="宋体"/>
          <w:bCs/>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八、申购份额与赎回金额的计算</w:t>
      </w:r>
    </w:p>
    <w:p w:rsidR="00822B64" w:rsidRDefault="00E92BF7">
      <w:pPr>
        <w:snapToGrid w:val="0"/>
        <w:spacing w:line="360" w:lineRule="auto"/>
        <w:ind w:firstLineChars="200" w:firstLine="420"/>
        <w:rPr>
          <w:rFonts w:ascii="宋体" w:hAnsi="宋体"/>
          <w:szCs w:val="20"/>
        </w:rPr>
      </w:pPr>
      <w:r>
        <w:rPr>
          <w:rFonts w:ascii="宋体" w:hAnsi="宋体"/>
          <w:szCs w:val="20"/>
        </w:rPr>
        <w:t>1、基金申购份额的计算</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（1）本</w:t>
      </w:r>
      <w:r>
        <w:rPr>
          <w:rFonts w:ascii="宋体" w:hAnsi="宋体"/>
          <w:szCs w:val="20"/>
        </w:rPr>
        <w:t>基金的申购金额包括申购费用和净申购金额。申购份额的计算公式为：</w:t>
      </w:r>
    </w:p>
    <w:p w:rsidR="00822B64" w:rsidRDefault="00E92BF7">
      <w:pPr>
        <w:snapToGrid w:val="0"/>
        <w:spacing w:line="360" w:lineRule="auto"/>
        <w:ind w:firstLineChars="200" w:firstLine="420"/>
        <w:rPr>
          <w:rFonts w:ascii="宋体" w:hAnsi="宋体"/>
          <w:szCs w:val="20"/>
        </w:rPr>
      </w:pPr>
      <w:r>
        <w:rPr>
          <w:rFonts w:ascii="宋体" w:hAnsi="宋体"/>
          <w:szCs w:val="20"/>
        </w:rPr>
        <w:t>净申购金额</w:t>
      </w:r>
      <w:r>
        <w:rPr>
          <w:rFonts w:ascii="宋体" w:hAnsi="宋体" w:hint="eastAsia"/>
          <w:szCs w:val="20"/>
        </w:rPr>
        <w:t xml:space="preserve"> </w:t>
      </w:r>
      <w:r>
        <w:rPr>
          <w:rFonts w:ascii="宋体" w:hAnsi="宋体"/>
          <w:szCs w:val="20"/>
        </w:rPr>
        <w:t>= 申购金额/（1+申购费率）</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或，净申购金额＝申购金额－固定申购费金额</w:t>
      </w:r>
    </w:p>
    <w:p w:rsidR="00822B64" w:rsidRDefault="00E92BF7">
      <w:pPr>
        <w:snapToGrid w:val="0"/>
        <w:spacing w:line="360" w:lineRule="auto"/>
        <w:ind w:firstLineChars="200" w:firstLine="420"/>
        <w:rPr>
          <w:rFonts w:ascii="宋体" w:hAnsi="宋体"/>
          <w:szCs w:val="20"/>
        </w:rPr>
      </w:pPr>
      <w:r>
        <w:rPr>
          <w:rFonts w:ascii="宋体" w:hAnsi="宋体"/>
          <w:szCs w:val="20"/>
        </w:rPr>
        <w:lastRenderedPageBreak/>
        <w:t>申购费用 = 申购金额－净申购金额</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或，申购费用=固定申购费金额</w:t>
      </w:r>
    </w:p>
    <w:p w:rsidR="00822B64" w:rsidRDefault="00E92BF7">
      <w:pPr>
        <w:snapToGrid w:val="0"/>
        <w:spacing w:line="360" w:lineRule="auto"/>
        <w:ind w:firstLineChars="200" w:firstLine="420"/>
        <w:rPr>
          <w:rFonts w:ascii="宋体" w:hAnsi="宋体"/>
          <w:szCs w:val="20"/>
        </w:rPr>
      </w:pPr>
      <w:r>
        <w:rPr>
          <w:rFonts w:ascii="宋体" w:hAnsi="宋体"/>
          <w:szCs w:val="20"/>
        </w:rPr>
        <w:t>申购份额 = 净申购金额/申购当日基金份额净值</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以上计算结果以四舍五入方式保留到小数点后</w:t>
      </w:r>
      <w:r>
        <w:rPr>
          <w:rFonts w:ascii="宋体" w:hAnsi="宋体"/>
          <w:szCs w:val="20"/>
        </w:rPr>
        <w:t>2</w:t>
      </w:r>
      <w:r>
        <w:rPr>
          <w:rFonts w:ascii="宋体" w:hAnsi="宋体" w:hint="eastAsia"/>
          <w:szCs w:val="20"/>
        </w:rPr>
        <w:t>位，由此误差产生的收益或损失由基金财产承担。</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例如：某投资者投资</w:t>
      </w:r>
      <w:r>
        <w:rPr>
          <w:rFonts w:ascii="宋体" w:hAnsi="宋体"/>
          <w:szCs w:val="20"/>
        </w:rPr>
        <w:t>5,000</w:t>
      </w:r>
      <w:r>
        <w:rPr>
          <w:rFonts w:ascii="宋体" w:hAnsi="宋体" w:hint="eastAsia"/>
          <w:szCs w:val="20"/>
        </w:rPr>
        <w:t>元申购本基金，对应申购费率为</w:t>
      </w:r>
      <w:r>
        <w:rPr>
          <w:rFonts w:ascii="宋体" w:hAnsi="宋体"/>
          <w:szCs w:val="20"/>
        </w:rPr>
        <w:t>0.80%</w:t>
      </w:r>
      <w:r>
        <w:rPr>
          <w:rFonts w:ascii="宋体" w:hAnsi="宋体" w:hint="eastAsia"/>
          <w:szCs w:val="20"/>
        </w:rPr>
        <w:t>，假设申购当日的基金份额净值为</w:t>
      </w:r>
      <w:r>
        <w:rPr>
          <w:rFonts w:ascii="宋体" w:hAnsi="宋体"/>
          <w:szCs w:val="20"/>
        </w:rPr>
        <w:t>1.1280</w:t>
      </w:r>
      <w:r>
        <w:rPr>
          <w:rFonts w:ascii="宋体" w:hAnsi="宋体" w:hint="eastAsia"/>
          <w:szCs w:val="20"/>
        </w:rPr>
        <w:t>元，则其可得到的申购份额为：</w:t>
      </w:r>
    </w:p>
    <w:p w:rsidR="00822B64" w:rsidRDefault="00E92BF7">
      <w:pPr>
        <w:snapToGrid w:val="0"/>
        <w:spacing w:line="360" w:lineRule="auto"/>
        <w:ind w:firstLineChars="200" w:firstLine="420"/>
        <w:rPr>
          <w:rFonts w:ascii="宋体" w:hAnsi="宋体"/>
          <w:szCs w:val="20"/>
        </w:rPr>
      </w:pPr>
      <w:r>
        <w:rPr>
          <w:rFonts w:ascii="宋体" w:hAnsi="宋体"/>
          <w:szCs w:val="20"/>
        </w:rPr>
        <w:t>净申购金额＝5,000/ (1+0.80%）＝</w:t>
      </w:r>
      <w:r>
        <w:rPr>
          <w:rFonts w:ascii="宋体" w:hAnsi="宋体" w:hint="eastAsia"/>
          <w:szCs w:val="20"/>
        </w:rPr>
        <w:t>4</w:t>
      </w:r>
      <w:r>
        <w:rPr>
          <w:rFonts w:ascii="宋体" w:hAnsi="宋体"/>
          <w:szCs w:val="20"/>
        </w:rPr>
        <w:t>,</w:t>
      </w:r>
      <w:r>
        <w:rPr>
          <w:rFonts w:ascii="宋体" w:hAnsi="宋体" w:hint="eastAsia"/>
          <w:szCs w:val="20"/>
        </w:rPr>
        <w:t>9</w:t>
      </w:r>
      <w:r>
        <w:rPr>
          <w:rFonts w:ascii="宋体" w:hAnsi="宋体"/>
          <w:szCs w:val="20"/>
        </w:rPr>
        <w:t>6</w:t>
      </w:r>
      <w:r>
        <w:rPr>
          <w:rFonts w:ascii="宋体" w:hAnsi="宋体" w:hint="eastAsia"/>
          <w:szCs w:val="20"/>
        </w:rPr>
        <w:t>0.</w:t>
      </w:r>
      <w:r>
        <w:rPr>
          <w:rFonts w:ascii="宋体" w:hAnsi="宋体"/>
          <w:szCs w:val="20"/>
        </w:rPr>
        <w:t>32元</w:t>
      </w:r>
    </w:p>
    <w:p w:rsidR="00822B64" w:rsidRDefault="00E92BF7">
      <w:pPr>
        <w:snapToGrid w:val="0"/>
        <w:spacing w:line="360" w:lineRule="auto"/>
        <w:ind w:firstLineChars="200" w:firstLine="420"/>
        <w:rPr>
          <w:rFonts w:ascii="宋体" w:hAnsi="宋体"/>
          <w:szCs w:val="20"/>
        </w:rPr>
      </w:pPr>
      <w:r>
        <w:rPr>
          <w:rFonts w:ascii="宋体" w:hAnsi="宋体"/>
          <w:szCs w:val="20"/>
        </w:rPr>
        <w:t>申购费用＝5,000－</w:t>
      </w:r>
      <w:r>
        <w:rPr>
          <w:rFonts w:ascii="宋体" w:hAnsi="宋体" w:hint="eastAsia"/>
          <w:szCs w:val="20"/>
        </w:rPr>
        <w:t>4</w:t>
      </w:r>
      <w:r>
        <w:rPr>
          <w:rFonts w:ascii="宋体" w:hAnsi="宋体"/>
          <w:szCs w:val="20"/>
        </w:rPr>
        <w:t>,</w:t>
      </w:r>
      <w:r>
        <w:rPr>
          <w:rFonts w:ascii="宋体" w:hAnsi="宋体" w:hint="eastAsia"/>
          <w:szCs w:val="20"/>
        </w:rPr>
        <w:t>9</w:t>
      </w:r>
      <w:r>
        <w:rPr>
          <w:rFonts w:ascii="宋体" w:hAnsi="宋体"/>
          <w:szCs w:val="20"/>
        </w:rPr>
        <w:t>6</w:t>
      </w:r>
      <w:r>
        <w:rPr>
          <w:rFonts w:ascii="宋体" w:hAnsi="宋体" w:hint="eastAsia"/>
          <w:szCs w:val="20"/>
        </w:rPr>
        <w:t>0.</w:t>
      </w:r>
      <w:r>
        <w:rPr>
          <w:rFonts w:ascii="宋体" w:hAnsi="宋体"/>
          <w:szCs w:val="20"/>
        </w:rPr>
        <w:t>32＝39.68元</w:t>
      </w:r>
    </w:p>
    <w:p w:rsidR="00822B64" w:rsidRDefault="00E92BF7">
      <w:pPr>
        <w:snapToGrid w:val="0"/>
        <w:spacing w:line="360" w:lineRule="auto"/>
        <w:ind w:firstLineChars="200" w:firstLine="420"/>
        <w:rPr>
          <w:rFonts w:ascii="宋体" w:hAnsi="宋体"/>
          <w:szCs w:val="20"/>
        </w:rPr>
      </w:pPr>
      <w:r>
        <w:rPr>
          <w:rFonts w:ascii="宋体" w:hAnsi="宋体"/>
          <w:szCs w:val="20"/>
        </w:rPr>
        <w:t>申购份额＝</w:t>
      </w:r>
      <w:r>
        <w:rPr>
          <w:rFonts w:ascii="宋体" w:hAnsi="宋体" w:hint="eastAsia"/>
          <w:szCs w:val="20"/>
        </w:rPr>
        <w:t>4</w:t>
      </w:r>
      <w:r>
        <w:rPr>
          <w:rFonts w:ascii="宋体" w:hAnsi="宋体"/>
          <w:szCs w:val="20"/>
        </w:rPr>
        <w:t>,</w:t>
      </w:r>
      <w:r>
        <w:rPr>
          <w:rFonts w:ascii="宋体" w:hAnsi="宋体" w:hint="eastAsia"/>
          <w:szCs w:val="20"/>
        </w:rPr>
        <w:t>9</w:t>
      </w:r>
      <w:r>
        <w:rPr>
          <w:rFonts w:ascii="宋体" w:hAnsi="宋体"/>
          <w:szCs w:val="20"/>
        </w:rPr>
        <w:t>6</w:t>
      </w:r>
      <w:r>
        <w:rPr>
          <w:rFonts w:ascii="宋体" w:hAnsi="宋体" w:hint="eastAsia"/>
          <w:szCs w:val="20"/>
        </w:rPr>
        <w:t>0.</w:t>
      </w:r>
      <w:r>
        <w:rPr>
          <w:rFonts w:ascii="宋体" w:hAnsi="宋体"/>
          <w:szCs w:val="20"/>
        </w:rPr>
        <w:t>32/1.1280=4397.45份</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即：该投资者投资5,000元申购本基金，假设申购当日的基金份额净值为1.12</w:t>
      </w:r>
      <w:r>
        <w:rPr>
          <w:rFonts w:ascii="宋体" w:hAnsi="宋体"/>
          <w:szCs w:val="20"/>
        </w:rPr>
        <w:t>80</w:t>
      </w:r>
      <w:r>
        <w:rPr>
          <w:rFonts w:ascii="宋体" w:hAnsi="宋体" w:hint="eastAsia"/>
          <w:szCs w:val="20"/>
        </w:rPr>
        <w:t>元，则投资者可获得</w:t>
      </w:r>
      <w:r>
        <w:rPr>
          <w:rFonts w:ascii="宋体" w:hAnsi="宋体"/>
          <w:szCs w:val="20"/>
        </w:rPr>
        <w:t>4397.45</w:t>
      </w:r>
      <w:r>
        <w:rPr>
          <w:rFonts w:ascii="宋体" w:hAnsi="宋体" w:hint="eastAsia"/>
          <w:szCs w:val="20"/>
        </w:rPr>
        <w:t>份基金份额。</w:t>
      </w:r>
    </w:p>
    <w:p w:rsidR="00822B64" w:rsidRDefault="00E92BF7">
      <w:pPr>
        <w:snapToGrid w:val="0"/>
        <w:spacing w:line="360" w:lineRule="auto"/>
        <w:ind w:firstLineChars="200" w:firstLine="420"/>
        <w:rPr>
          <w:rFonts w:ascii="宋体" w:hAnsi="宋体"/>
          <w:szCs w:val="20"/>
        </w:rPr>
      </w:pPr>
      <w:r>
        <w:rPr>
          <w:rFonts w:ascii="宋体" w:hAnsi="宋体"/>
          <w:szCs w:val="20"/>
        </w:rPr>
        <w:t>2、基金赎回金额的计算</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投资者在赎回基金份额需缴纳一定的赎回费用。计算公式如下：</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赎回金额＝赎回份额</w:t>
      </w:r>
      <w:r>
        <w:rPr>
          <w:rFonts w:ascii="宋体" w:hAnsi="宋体"/>
          <w:szCs w:val="20"/>
        </w:rPr>
        <w:t>×T</w:t>
      </w:r>
      <w:r>
        <w:rPr>
          <w:rFonts w:ascii="宋体" w:hAnsi="宋体" w:hint="eastAsia"/>
          <w:szCs w:val="20"/>
        </w:rPr>
        <w:t>日基金份额净值</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赎回费＝赎回金额</w:t>
      </w:r>
      <w:r>
        <w:rPr>
          <w:rFonts w:ascii="宋体" w:hAnsi="宋体"/>
          <w:szCs w:val="20"/>
        </w:rPr>
        <w:t>×</w:t>
      </w:r>
      <w:r>
        <w:rPr>
          <w:rFonts w:ascii="宋体" w:hAnsi="宋体" w:hint="eastAsia"/>
          <w:szCs w:val="20"/>
        </w:rPr>
        <w:t>赎回费率</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净赎回金额＝赎回金额－赎回费</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以上计算结果以四舍五入方式保留小数点后</w:t>
      </w:r>
      <w:r>
        <w:rPr>
          <w:rFonts w:ascii="宋体" w:hAnsi="宋体"/>
          <w:szCs w:val="20"/>
        </w:rPr>
        <w:t>2</w:t>
      </w:r>
      <w:r>
        <w:rPr>
          <w:rFonts w:ascii="宋体" w:hAnsi="宋体" w:hint="eastAsia"/>
          <w:szCs w:val="20"/>
        </w:rPr>
        <w:t>位，由此误差产生的收益或损失由基金财产承担。</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例如：某基金份额持有人持有本基金</w:t>
      </w:r>
      <w:r>
        <w:rPr>
          <w:rFonts w:ascii="宋体" w:hAnsi="宋体"/>
          <w:szCs w:val="20"/>
        </w:rPr>
        <w:t>10,000</w:t>
      </w:r>
      <w:r>
        <w:rPr>
          <w:rFonts w:ascii="宋体" w:hAnsi="宋体" w:hint="eastAsia"/>
          <w:szCs w:val="20"/>
        </w:rPr>
        <w:t>份基金份额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天）决定赎回，对应的赎回费率为</w:t>
      </w:r>
      <w:r>
        <w:rPr>
          <w:rFonts w:ascii="宋体" w:hAnsi="宋体"/>
          <w:szCs w:val="20"/>
        </w:rPr>
        <w:t>0.10%</w:t>
      </w:r>
      <w:r>
        <w:rPr>
          <w:rFonts w:ascii="宋体" w:hAnsi="宋体" w:hint="eastAsia"/>
          <w:szCs w:val="20"/>
        </w:rPr>
        <w:t>，假设赎回当日的基金份额净值是</w:t>
      </w:r>
      <w:r>
        <w:rPr>
          <w:rFonts w:ascii="宋体" w:hAnsi="宋体"/>
          <w:szCs w:val="20"/>
        </w:rPr>
        <w:t>1.1480</w:t>
      </w:r>
      <w:r>
        <w:rPr>
          <w:rFonts w:ascii="宋体" w:hAnsi="宋体" w:hint="eastAsia"/>
          <w:szCs w:val="20"/>
        </w:rPr>
        <w:t>元，则可得到的净赎回金额为：</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赎回金额</w:t>
      </w:r>
      <w:r>
        <w:rPr>
          <w:rFonts w:ascii="宋体" w:hAnsi="宋体"/>
          <w:szCs w:val="20"/>
        </w:rPr>
        <w:t>=10,000×1.1480=11,480.00</w:t>
      </w:r>
      <w:r>
        <w:rPr>
          <w:rFonts w:ascii="宋体" w:hAnsi="宋体" w:hint="eastAsia"/>
          <w:szCs w:val="20"/>
        </w:rPr>
        <w:t>元</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赎回费</w:t>
      </w:r>
      <w:r>
        <w:rPr>
          <w:rFonts w:ascii="宋体" w:hAnsi="宋体"/>
          <w:szCs w:val="20"/>
        </w:rPr>
        <w:t>=11,480.00×0.10%=11.48</w:t>
      </w:r>
      <w:r>
        <w:rPr>
          <w:rFonts w:ascii="宋体" w:hAnsi="宋体" w:hint="eastAsia"/>
          <w:szCs w:val="20"/>
        </w:rPr>
        <w:t>元</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净赎回金额</w:t>
      </w:r>
      <w:r>
        <w:rPr>
          <w:rFonts w:ascii="宋体" w:hAnsi="宋体"/>
          <w:szCs w:val="20"/>
        </w:rPr>
        <w:t>=11,480.00-11.48=11,468.52</w:t>
      </w:r>
      <w:r>
        <w:rPr>
          <w:rFonts w:ascii="宋体" w:hAnsi="宋体" w:hint="eastAsia"/>
          <w:szCs w:val="20"/>
        </w:rPr>
        <w:t>元</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即：某基金份额持有人持有本基金</w:t>
      </w:r>
      <w:r>
        <w:rPr>
          <w:rFonts w:ascii="宋体" w:hAnsi="宋体"/>
          <w:szCs w:val="20"/>
        </w:rPr>
        <w:t>10,000</w:t>
      </w:r>
      <w:r>
        <w:rPr>
          <w:rFonts w:ascii="宋体" w:hAnsi="宋体" w:hint="eastAsia"/>
          <w:szCs w:val="20"/>
        </w:rPr>
        <w:t>份基金份额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天）赎回，假设赎回当日的基金份额净值是</w:t>
      </w:r>
      <w:r>
        <w:rPr>
          <w:rFonts w:ascii="宋体" w:hAnsi="宋体"/>
          <w:szCs w:val="20"/>
        </w:rPr>
        <w:t>1.1480</w:t>
      </w:r>
      <w:r>
        <w:rPr>
          <w:rFonts w:ascii="宋体" w:hAnsi="宋体" w:hint="eastAsia"/>
          <w:szCs w:val="20"/>
        </w:rPr>
        <w:t>元，则可得到的净赎回金额为</w:t>
      </w:r>
      <w:r>
        <w:rPr>
          <w:rFonts w:ascii="宋体" w:hAnsi="宋体"/>
          <w:szCs w:val="20"/>
        </w:rPr>
        <w:t>11,468.52</w:t>
      </w:r>
      <w:r>
        <w:rPr>
          <w:rFonts w:ascii="宋体" w:hAnsi="宋体" w:hint="eastAsia"/>
          <w:szCs w:val="20"/>
        </w:rPr>
        <w:t>元。</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3、基金份额净值的计算</w:t>
      </w:r>
    </w:p>
    <w:p w:rsidR="00822B64" w:rsidRDefault="00E92BF7">
      <w:pPr>
        <w:snapToGrid w:val="0"/>
        <w:spacing w:line="360" w:lineRule="auto"/>
        <w:ind w:firstLineChars="200" w:firstLine="420"/>
        <w:rPr>
          <w:rFonts w:ascii="宋体" w:hAnsi="宋体"/>
          <w:szCs w:val="20"/>
        </w:rPr>
      </w:pPr>
      <w:r>
        <w:rPr>
          <w:rFonts w:ascii="宋体" w:hAnsi="宋体"/>
          <w:szCs w:val="20"/>
        </w:rPr>
        <w:t>T</w:t>
      </w:r>
      <w:r>
        <w:rPr>
          <w:rFonts w:ascii="宋体" w:hAnsi="宋体" w:hint="eastAsia"/>
          <w:szCs w:val="20"/>
        </w:rPr>
        <w:t>日的基金份额净值在当天收市后计算，基金净值信息</w:t>
      </w:r>
      <w:r>
        <w:rPr>
          <w:rFonts w:ascii="宋体" w:hAnsi="宋体" w:hint="eastAsia"/>
          <w:bCs/>
          <w:szCs w:val="20"/>
        </w:rPr>
        <w:t>按基金合同的约定</w:t>
      </w:r>
      <w:r>
        <w:rPr>
          <w:rFonts w:ascii="宋体" w:hAnsi="宋体" w:hint="eastAsia"/>
          <w:szCs w:val="20"/>
        </w:rPr>
        <w:t>公告。遇特殊情况，经履行适当程序，可以适当延迟计算或公告。计算公式为：</w:t>
      </w:r>
    </w:p>
    <w:p w:rsidR="00822B64" w:rsidRDefault="00E92BF7">
      <w:pPr>
        <w:snapToGrid w:val="0"/>
        <w:spacing w:line="360" w:lineRule="auto"/>
        <w:ind w:firstLineChars="200" w:firstLine="420"/>
        <w:rPr>
          <w:rFonts w:ascii="宋体" w:hAnsi="宋体"/>
          <w:szCs w:val="20"/>
        </w:rPr>
      </w:pPr>
      <w:r>
        <w:rPr>
          <w:rFonts w:ascii="宋体" w:hAnsi="宋体"/>
          <w:szCs w:val="20"/>
        </w:rPr>
        <w:t>T</w:t>
      </w:r>
      <w:r>
        <w:rPr>
          <w:rFonts w:ascii="宋体" w:hAnsi="宋体" w:hint="eastAsia"/>
          <w:szCs w:val="20"/>
        </w:rPr>
        <w:t>日基金份额净值＝</w:t>
      </w:r>
      <w:r>
        <w:rPr>
          <w:rFonts w:ascii="宋体" w:hAnsi="宋体"/>
          <w:szCs w:val="20"/>
        </w:rPr>
        <w:t>T</w:t>
      </w:r>
      <w:r>
        <w:rPr>
          <w:rFonts w:ascii="宋体" w:hAnsi="宋体" w:hint="eastAsia"/>
          <w:szCs w:val="20"/>
        </w:rPr>
        <w:t>日基金资产净值</w:t>
      </w:r>
      <w:r>
        <w:rPr>
          <w:rFonts w:ascii="宋体" w:hAnsi="宋体"/>
          <w:szCs w:val="20"/>
        </w:rPr>
        <w:t>/T</w:t>
      </w:r>
      <w:r>
        <w:rPr>
          <w:rFonts w:ascii="宋体" w:hAnsi="宋体" w:hint="eastAsia"/>
          <w:szCs w:val="20"/>
        </w:rPr>
        <w:t>日登记在册的基金份额余额数量</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本基金份额净值的计算，保留到小数点后</w:t>
      </w:r>
      <w:r>
        <w:rPr>
          <w:rFonts w:ascii="宋体" w:hAnsi="宋体"/>
          <w:szCs w:val="20"/>
        </w:rPr>
        <w:t>4</w:t>
      </w:r>
      <w:r>
        <w:rPr>
          <w:rFonts w:ascii="宋体" w:hAnsi="宋体" w:hint="eastAsia"/>
          <w:szCs w:val="20"/>
        </w:rPr>
        <w:t>位，小数点后第</w:t>
      </w:r>
      <w:r>
        <w:rPr>
          <w:rFonts w:ascii="宋体" w:hAnsi="宋体"/>
          <w:szCs w:val="20"/>
        </w:rPr>
        <w:t>5</w:t>
      </w:r>
      <w:r>
        <w:rPr>
          <w:rFonts w:ascii="宋体" w:hAnsi="宋体" w:hint="eastAsia"/>
          <w:szCs w:val="20"/>
        </w:rPr>
        <w:t>位四舍五入，由此产生的收益或损失由基金财产承担。</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4、申购份额、余额的处理方式</w:t>
      </w:r>
    </w:p>
    <w:p w:rsidR="00822B64" w:rsidRDefault="00E92BF7">
      <w:pPr>
        <w:snapToGrid w:val="0"/>
        <w:spacing w:line="360" w:lineRule="auto"/>
        <w:ind w:firstLineChars="200" w:firstLine="420"/>
        <w:rPr>
          <w:rFonts w:ascii="宋体" w:hAnsi="宋体"/>
          <w:szCs w:val="20"/>
        </w:rPr>
      </w:pPr>
      <w:r>
        <w:rPr>
          <w:rFonts w:ascii="宋体" w:hAnsi="宋体" w:hint="eastAsia"/>
          <w:szCs w:val="20"/>
        </w:rPr>
        <w:lastRenderedPageBreak/>
        <w:t>本基金申购的有效份额为净申购金额除以当日的基金份额净值，有效份额单位为份，上述计算结果均按四舍五入方法，保留到小数点后2位，由此产生的收益或损失由基金财产承担。</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5、赎回金额的处理方式</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本基金赎回金额为按实际确认的有效赎回份额乘以当日基金份额净值并扣除相应的费用，赎回金额单位为元。上述计算结果均按四舍五入方法，保留到小数点后2位，由此产生的收益或损失由基金财产承担。</w:t>
      </w:r>
    </w:p>
    <w:p w:rsidR="00822B64" w:rsidRDefault="00E92BF7">
      <w:pPr>
        <w:snapToGrid w:val="0"/>
        <w:spacing w:line="360" w:lineRule="auto"/>
        <w:ind w:firstLineChars="200" w:firstLine="420"/>
        <w:rPr>
          <w:rFonts w:ascii="宋体" w:hAnsi="宋体"/>
          <w:szCs w:val="20"/>
        </w:rPr>
      </w:pPr>
      <w:r>
        <w:rPr>
          <w:rFonts w:ascii="宋体" w:hAnsi="宋体" w:hint="eastAsia"/>
          <w:szCs w:val="20"/>
        </w:rPr>
        <w:t>6、当本基金发生大额申购或赎回情形时，基金管理人可以采用摆动定价机制，以确保基金估值的公平性，具体处理原则与操作规范遵循相关法律法规以及监管部门、自律规则的规定。</w:t>
      </w:r>
    </w:p>
    <w:p w:rsidR="00822B64" w:rsidRDefault="00822B64">
      <w:pPr>
        <w:snapToGrid w:val="0"/>
        <w:spacing w:line="360" w:lineRule="auto"/>
        <w:ind w:firstLineChars="200" w:firstLine="420"/>
        <w:rPr>
          <w:rFonts w:ascii="宋体" w:hAnsi="宋体"/>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九、申购和赎回的登记</w:t>
      </w:r>
    </w:p>
    <w:p w:rsidR="00822B64" w:rsidRDefault="00E92BF7">
      <w:pPr>
        <w:snapToGrid w:val="0"/>
        <w:spacing w:line="360" w:lineRule="auto"/>
        <w:ind w:firstLineChars="200" w:firstLine="420"/>
        <w:rPr>
          <w:rFonts w:ascii="宋体" w:hAnsi="宋体"/>
        </w:rPr>
      </w:pPr>
      <w:r>
        <w:rPr>
          <w:rFonts w:ascii="宋体" w:hAnsi="宋体" w:hint="eastAsia"/>
        </w:rPr>
        <w:t>投资</w:t>
      </w:r>
      <w:r>
        <w:rPr>
          <w:rFonts w:ascii="宋体" w:hAnsi="宋体"/>
          <w:szCs w:val="21"/>
        </w:rPr>
        <w:t>人</w:t>
      </w:r>
      <w:r>
        <w:rPr>
          <w:rFonts w:ascii="宋体" w:hAnsi="宋体" w:hint="eastAsia"/>
        </w:rPr>
        <w:t>申购基金成功后，基金登记机构在</w:t>
      </w:r>
      <w:r>
        <w:rPr>
          <w:rFonts w:ascii="宋体" w:hAnsi="宋体"/>
        </w:rPr>
        <w:t>T+1</w:t>
      </w:r>
      <w:r>
        <w:rPr>
          <w:rFonts w:ascii="宋体" w:hAnsi="宋体" w:hint="eastAsia"/>
        </w:rPr>
        <w:t>日为投资</w:t>
      </w:r>
      <w:r>
        <w:rPr>
          <w:rFonts w:ascii="宋体" w:hAnsi="宋体"/>
          <w:szCs w:val="21"/>
        </w:rPr>
        <w:t>人</w:t>
      </w:r>
      <w:r>
        <w:rPr>
          <w:rFonts w:ascii="宋体" w:hAnsi="宋体" w:hint="eastAsia"/>
        </w:rPr>
        <w:t>登记权益并办理登记手续，投资</w:t>
      </w:r>
      <w:r>
        <w:rPr>
          <w:rFonts w:ascii="宋体" w:hAnsi="宋体"/>
          <w:szCs w:val="21"/>
        </w:rPr>
        <w:t>人</w:t>
      </w:r>
      <w:r>
        <w:rPr>
          <w:rFonts w:ascii="宋体" w:hAnsi="宋体" w:hint="eastAsia"/>
        </w:rPr>
        <w:t>自</w:t>
      </w:r>
      <w:r>
        <w:rPr>
          <w:rFonts w:ascii="宋体" w:hAnsi="宋体"/>
        </w:rPr>
        <w:t>T+2</w:t>
      </w:r>
      <w:r>
        <w:rPr>
          <w:rFonts w:ascii="宋体" w:hAnsi="宋体" w:hint="eastAsia"/>
        </w:rPr>
        <w:t>日（含该日）后有权赎回该部分基金份额。</w:t>
      </w:r>
    </w:p>
    <w:p w:rsidR="00822B64" w:rsidRDefault="00E92BF7">
      <w:pPr>
        <w:snapToGrid w:val="0"/>
        <w:spacing w:line="360" w:lineRule="auto"/>
        <w:ind w:firstLineChars="200" w:firstLine="420"/>
        <w:rPr>
          <w:rFonts w:ascii="宋体" w:hAnsi="宋体"/>
        </w:rPr>
      </w:pPr>
      <w:r>
        <w:rPr>
          <w:rFonts w:ascii="宋体" w:hAnsi="宋体" w:hint="eastAsia"/>
        </w:rPr>
        <w:t>投资</w:t>
      </w:r>
      <w:r>
        <w:rPr>
          <w:rFonts w:ascii="宋体" w:hAnsi="宋体"/>
          <w:szCs w:val="21"/>
        </w:rPr>
        <w:t>人</w:t>
      </w:r>
      <w:r>
        <w:rPr>
          <w:rFonts w:ascii="宋体" w:hAnsi="宋体" w:hint="eastAsia"/>
        </w:rPr>
        <w:t>赎回基金成功后，基金登记机构在</w:t>
      </w:r>
      <w:r>
        <w:rPr>
          <w:rFonts w:ascii="宋体" w:hAnsi="宋体"/>
        </w:rPr>
        <w:t>T+1</w:t>
      </w:r>
      <w:r>
        <w:rPr>
          <w:rFonts w:ascii="宋体" w:hAnsi="宋体" w:hint="eastAsia"/>
        </w:rPr>
        <w:t>日为投资</w:t>
      </w:r>
      <w:r>
        <w:rPr>
          <w:rFonts w:ascii="宋体" w:hAnsi="宋体"/>
          <w:szCs w:val="21"/>
        </w:rPr>
        <w:t>人</w:t>
      </w:r>
      <w:r>
        <w:rPr>
          <w:rFonts w:ascii="宋体" w:hAnsi="宋体" w:hint="eastAsia"/>
        </w:rPr>
        <w:t>办理扣除权益的登记手续。</w:t>
      </w:r>
    </w:p>
    <w:p w:rsidR="00822B64" w:rsidRDefault="00E92BF7">
      <w:pPr>
        <w:snapToGrid w:val="0"/>
        <w:spacing w:line="360" w:lineRule="auto"/>
        <w:ind w:firstLineChars="200" w:firstLine="420"/>
        <w:rPr>
          <w:rFonts w:ascii="宋体" w:hAnsi="宋体"/>
        </w:rPr>
      </w:pPr>
      <w:r>
        <w:rPr>
          <w:rFonts w:ascii="宋体" w:hAnsi="宋体" w:hint="eastAsia"/>
        </w:rPr>
        <w:t>基金管理人可以在法律法规允许的范围内，对上述登记办理时间进行调整，但不得实质影响投资</w:t>
      </w:r>
      <w:r>
        <w:rPr>
          <w:rFonts w:ascii="宋体" w:hAnsi="宋体"/>
          <w:szCs w:val="21"/>
        </w:rPr>
        <w:t>人</w:t>
      </w:r>
      <w:r>
        <w:rPr>
          <w:rFonts w:ascii="宋体" w:hAnsi="宋体" w:hint="eastAsia"/>
        </w:rPr>
        <w:t>的合法权益，并最迟于实施前</w:t>
      </w:r>
      <w:r>
        <w:rPr>
          <w:rFonts w:ascii="宋体" w:hAnsi="宋体" w:hint="eastAsia"/>
          <w:szCs w:val="21"/>
        </w:rPr>
        <w:t>依照《信息披露办法》的有关规定</w:t>
      </w:r>
      <w:r>
        <w:rPr>
          <w:rFonts w:ascii="宋体" w:hAnsi="宋体" w:hint="eastAsia"/>
        </w:rPr>
        <w:t>在规定媒介公告。</w:t>
      </w:r>
    </w:p>
    <w:p w:rsidR="00822B64" w:rsidRDefault="00822B64">
      <w:pPr>
        <w:autoSpaceDE w:val="0"/>
        <w:autoSpaceDN w:val="0"/>
        <w:adjustRightInd w:val="0"/>
        <w:snapToGrid w:val="0"/>
        <w:spacing w:line="360" w:lineRule="auto"/>
        <w:ind w:firstLineChars="200" w:firstLine="420"/>
        <w:rPr>
          <w:rFonts w:ascii="宋体" w:hAnsi="宋体"/>
          <w:kern w:val="0"/>
          <w:szCs w:val="20"/>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十、拒绝或暂停申购的情形</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在开放期内，发生下列情况时，基金管理人可拒绝或暂停接受投资人的申购申请：</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w:t>
      </w:r>
      <w:r>
        <w:rPr>
          <w:rFonts w:ascii="宋体" w:hAnsi="宋体" w:hint="eastAsia"/>
          <w:bCs/>
          <w:szCs w:val="21"/>
        </w:rPr>
        <w:t>、因不可抗力导致基金无法正常运作。</w:t>
      </w:r>
    </w:p>
    <w:p w:rsidR="00822B64" w:rsidRDefault="00E92BF7">
      <w:pPr>
        <w:adjustRightInd w:val="0"/>
        <w:snapToGrid w:val="0"/>
        <w:spacing w:line="360" w:lineRule="auto"/>
        <w:ind w:firstLine="420"/>
        <w:rPr>
          <w:rFonts w:ascii="宋体" w:hAnsi="宋体"/>
          <w:bCs/>
          <w:szCs w:val="21"/>
          <w:u w:val="single"/>
        </w:rPr>
      </w:pPr>
      <w:r>
        <w:rPr>
          <w:rFonts w:ascii="宋体" w:hAnsi="宋体"/>
          <w:bCs/>
          <w:szCs w:val="21"/>
        </w:rPr>
        <w:t>2</w:t>
      </w:r>
      <w:r>
        <w:rPr>
          <w:rFonts w:ascii="宋体" w:hAnsi="宋体" w:hint="eastAsia"/>
          <w:bCs/>
          <w:szCs w:val="21"/>
        </w:rPr>
        <w:t>、发生《基金合同》规定的暂停基金资产估值情况时，基金管理人可暂停接受投资人的申购申请。</w:t>
      </w:r>
    </w:p>
    <w:p w:rsidR="00822B64" w:rsidRDefault="00E92BF7">
      <w:pPr>
        <w:adjustRightInd w:val="0"/>
        <w:snapToGrid w:val="0"/>
        <w:spacing w:line="360" w:lineRule="auto"/>
        <w:ind w:firstLine="420"/>
        <w:rPr>
          <w:rFonts w:ascii="宋体" w:hAnsi="宋体"/>
          <w:bCs/>
          <w:szCs w:val="21"/>
        </w:rPr>
      </w:pPr>
      <w:r>
        <w:rPr>
          <w:rFonts w:ascii="宋体" w:hAnsi="宋体"/>
          <w:bCs/>
          <w:szCs w:val="21"/>
        </w:rPr>
        <w:t>3</w:t>
      </w:r>
      <w:r>
        <w:rPr>
          <w:rFonts w:ascii="宋体" w:hAnsi="宋体" w:hint="eastAsia"/>
          <w:bCs/>
          <w:szCs w:val="21"/>
        </w:rPr>
        <w:t>、</w:t>
      </w:r>
      <w:r>
        <w:rPr>
          <w:rFonts w:ascii="宋体" w:hAnsi="宋体"/>
          <w:bCs/>
          <w:szCs w:val="21"/>
        </w:rPr>
        <w:t>证券</w:t>
      </w:r>
      <w:r>
        <w:rPr>
          <w:rFonts w:ascii="宋体" w:hAnsi="宋体" w:hint="eastAsia"/>
          <w:bCs/>
          <w:szCs w:val="21"/>
        </w:rPr>
        <w:t>交易所交易时间非正常停市</w:t>
      </w:r>
      <w:r>
        <w:rPr>
          <w:rFonts w:ascii="宋体" w:hAnsi="宋体"/>
          <w:bCs/>
          <w:szCs w:val="21"/>
        </w:rPr>
        <w:t>，导致基金管理人无法计算当日基金资产净值</w:t>
      </w:r>
      <w:r>
        <w:rPr>
          <w:rFonts w:ascii="宋体" w:hAnsi="宋体" w:hint="eastAsia"/>
          <w:bCs/>
          <w:szCs w:val="21"/>
        </w:rPr>
        <w:t>或者无法办理申购业务</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4</w:t>
      </w:r>
      <w:r>
        <w:rPr>
          <w:rFonts w:ascii="宋体" w:hAnsi="宋体" w:hint="eastAsia"/>
          <w:bCs/>
          <w:szCs w:val="21"/>
        </w:rPr>
        <w:t>、接受某笔或某些申购申请可能会影响或损害现有基金份额持有人利益时。</w:t>
      </w:r>
    </w:p>
    <w:p w:rsidR="00822B64" w:rsidRDefault="00E92BF7">
      <w:pPr>
        <w:adjustRightInd w:val="0"/>
        <w:snapToGrid w:val="0"/>
        <w:spacing w:line="360" w:lineRule="auto"/>
        <w:ind w:firstLine="420"/>
        <w:rPr>
          <w:rFonts w:ascii="宋体" w:hAnsi="宋体"/>
          <w:bCs/>
          <w:szCs w:val="21"/>
        </w:rPr>
      </w:pPr>
      <w:r>
        <w:rPr>
          <w:rFonts w:ascii="宋体" w:hAnsi="宋体"/>
          <w:bCs/>
          <w:szCs w:val="21"/>
        </w:rPr>
        <w:t>5</w:t>
      </w:r>
      <w:r>
        <w:rPr>
          <w:rFonts w:ascii="宋体" w:hAnsi="宋体" w:hint="eastAsia"/>
          <w:bCs/>
          <w:szCs w:val="21"/>
        </w:rPr>
        <w:t>、</w:t>
      </w:r>
      <w:r>
        <w:rPr>
          <w:rFonts w:ascii="宋体" w:hAnsi="宋体"/>
          <w:bCs/>
          <w:szCs w:val="21"/>
        </w:rPr>
        <w:t>基金资产规模过大，使基金管理人无法找到合适的投资品种，或其他可能对基金业绩产生负面影响，</w:t>
      </w:r>
      <w:r>
        <w:rPr>
          <w:rFonts w:ascii="宋体" w:hAnsi="宋体" w:hint="eastAsia"/>
          <w:bCs/>
          <w:szCs w:val="21"/>
        </w:rPr>
        <w:t>或发生其他</w:t>
      </w:r>
      <w:r>
        <w:rPr>
          <w:rFonts w:ascii="宋体" w:hAnsi="宋体"/>
          <w:bCs/>
          <w:szCs w:val="21"/>
        </w:rPr>
        <w:t>损害现有基金份额持有人利益的情形。</w:t>
      </w:r>
    </w:p>
    <w:p w:rsidR="00822B64" w:rsidRDefault="00E92BF7">
      <w:pPr>
        <w:adjustRightInd w:val="0"/>
        <w:snapToGrid w:val="0"/>
        <w:spacing w:line="360" w:lineRule="auto"/>
        <w:ind w:firstLine="420"/>
        <w:rPr>
          <w:rFonts w:ascii="宋体" w:hAnsi="宋体"/>
          <w:bCs/>
          <w:szCs w:val="21"/>
        </w:rPr>
      </w:pPr>
      <w:r>
        <w:rPr>
          <w:rFonts w:ascii="宋体" w:hAnsi="宋体"/>
          <w:bCs/>
          <w:szCs w:val="21"/>
        </w:rPr>
        <w:t>6</w:t>
      </w:r>
      <w:r>
        <w:rPr>
          <w:rFonts w:ascii="宋体" w:hAnsi="宋体" w:hint="eastAsia"/>
          <w:bCs/>
          <w:szCs w:val="21"/>
        </w:rPr>
        <w:t>、基金管理人、基金托管人、基金销售机构或登记机构、支付结算机构等因异常情况导致基金销售系统、基金登记系统、基金销售支付结算系统或基金会计系统等无法正常运行。</w:t>
      </w:r>
    </w:p>
    <w:p w:rsidR="00822B64" w:rsidRDefault="00E92BF7">
      <w:pPr>
        <w:adjustRightInd w:val="0"/>
        <w:snapToGrid w:val="0"/>
        <w:spacing w:line="360" w:lineRule="auto"/>
        <w:ind w:firstLine="420"/>
        <w:rPr>
          <w:rFonts w:ascii="宋体" w:hAnsi="宋体"/>
          <w:bCs/>
          <w:szCs w:val="21"/>
        </w:rPr>
      </w:pPr>
      <w:r>
        <w:rPr>
          <w:rFonts w:ascii="宋体" w:hAnsi="宋体"/>
          <w:bCs/>
          <w:szCs w:val="21"/>
        </w:rPr>
        <w:t>7</w:t>
      </w:r>
      <w:r>
        <w:rPr>
          <w:rFonts w:ascii="宋体" w:hAnsi="宋体" w:hint="eastAsia"/>
          <w:bCs/>
          <w:szCs w:val="21"/>
        </w:rPr>
        <w:t>、当前一估值日基金资产净值50%以上的资产出现无可参考的活跃市场价格且采用估值技术仍导致公允价值存在重大不确定性时，经与基金托管人协商确认后，基金管理人应当暂停接受基金申购申请。</w:t>
      </w:r>
    </w:p>
    <w:p w:rsidR="00822B64" w:rsidRDefault="00E92BF7">
      <w:pPr>
        <w:adjustRightInd w:val="0"/>
        <w:snapToGrid w:val="0"/>
        <w:spacing w:line="360" w:lineRule="auto"/>
        <w:ind w:firstLine="420"/>
        <w:rPr>
          <w:rFonts w:ascii="宋体" w:hAnsi="宋体"/>
          <w:bCs/>
          <w:szCs w:val="21"/>
        </w:rPr>
      </w:pPr>
      <w:r>
        <w:rPr>
          <w:rFonts w:ascii="宋体" w:hAnsi="宋体"/>
          <w:bCs/>
          <w:szCs w:val="21"/>
        </w:rPr>
        <w:t>8</w:t>
      </w:r>
      <w:r>
        <w:rPr>
          <w:rFonts w:ascii="宋体" w:hAnsi="宋体" w:hint="eastAsia"/>
          <w:bCs/>
          <w:szCs w:val="21"/>
        </w:rPr>
        <w:t>、在基金管理人就本基金的基金总规模、单日净申购比例、单一投资者单日和</w:t>
      </w:r>
      <w:r>
        <w:rPr>
          <w:rFonts w:ascii="宋体" w:hAnsi="宋体"/>
          <w:bCs/>
          <w:szCs w:val="21"/>
        </w:rPr>
        <w:t>/</w:t>
      </w:r>
      <w:r>
        <w:rPr>
          <w:rFonts w:ascii="宋体" w:hAnsi="宋体" w:hint="eastAsia"/>
          <w:bCs/>
          <w:szCs w:val="21"/>
        </w:rPr>
        <w:t>或单笔</w:t>
      </w:r>
      <w:r>
        <w:rPr>
          <w:rFonts w:ascii="宋体" w:hAnsi="宋体" w:hint="eastAsia"/>
          <w:bCs/>
          <w:szCs w:val="21"/>
        </w:rPr>
        <w:lastRenderedPageBreak/>
        <w:t>申购金额设置上限的情况下，接受某笔或某些申购申请超过前述某项或全部上限比例的。</w:t>
      </w:r>
    </w:p>
    <w:p w:rsidR="00822B64" w:rsidRDefault="00E92BF7">
      <w:pPr>
        <w:adjustRightInd w:val="0"/>
        <w:snapToGrid w:val="0"/>
        <w:spacing w:line="360" w:lineRule="auto"/>
        <w:ind w:firstLine="420"/>
        <w:rPr>
          <w:rFonts w:ascii="宋体" w:hAnsi="宋体"/>
          <w:bCs/>
          <w:szCs w:val="21"/>
        </w:rPr>
      </w:pPr>
      <w:r>
        <w:rPr>
          <w:rFonts w:ascii="宋体" w:hAnsi="宋体"/>
          <w:bCs/>
          <w:szCs w:val="21"/>
        </w:rPr>
        <w:t>9</w:t>
      </w:r>
      <w:r>
        <w:rPr>
          <w:rFonts w:ascii="宋体" w:hAnsi="宋体" w:hint="eastAsia"/>
          <w:bCs/>
          <w:szCs w:val="21"/>
        </w:rPr>
        <w:t>、基金管理人接受某笔或者某些申购申请有可能导致单一投资者持有基金份额的比例达到或者超过</w:t>
      </w:r>
      <w:r>
        <w:rPr>
          <w:rFonts w:ascii="宋体" w:hAnsi="宋体"/>
          <w:bCs/>
          <w:szCs w:val="21"/>
        </w:rPr>
        <w:t>50%</w:t>
      </w:r>
      <w:r>
        <w:rPr>
          <w:rFonts w:ascii="宋体" w:hAnsi="宋体" w:hint="eastAsia"/>
          <w:bCs/>
          <w:szCs w:val="21"/>
        </w:rPr>
        <w:t>，或者变相规避</w:t>
      </w:r>
      <w:r>
        <w:rPr>
          <w:rFonts w:ascii="宋体" w:hAnsi="宋体"/>
          <w:bCs/>
          <w:szCs w:val="21"/>
        </w:rPr>
        <w:t>50%</w:t>
      </w:r>
      <w:r>
        <w:rPr>
          <w:rFonts w:ascii="宋体" w:hAnsi="宋体" w:hint="eastAsia"/>
          <w:bCs/>
          <w:szCs w:val="21"/>
        </w:rPr>
        <w:t>集中度的情形。</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10</w:t>
      </w:r>
      <w:r>
        <w:rPr>
          <w:rFonts w:ascii="宋体" w:hAnsi="宋体" w:hint="eastAsia"/>
          <w:bCs/>
          <w:szCs w:val="21"/>
        </w:rPr>
        <w:t>、</w:t>
      </w:r>
      <w:r>
        <w:rPr>
          <w:rFonts w:ascii="宋体" w:hAnsi="宋体"/>
          <w:bCs/>
          <w:szCs w:val="21"/>
        </w:rPr>
        <w:t>法律法规规定或中国证监会认定的其他情形。</w:t>
      </w:r>
    </w:p>
    <w:p w:rsidR="00822B64" w:rsidRDefault="00E92BF7">
      <w:pPr>
        <w:snapToGrid w:val="0"/>
        <w:spacing w:line="360" w:lineRule="auto"/>
        <w:ind w:firstLineChars="200" w:firstLine="420"/>
        <w:rPr>
          <w:rFonts w:ascii="宋体" w:hAnsi="宋体"/>
          <w:bCs/>
          <w:szCs w:val="21"/>
        </w:rPr>
      </w:pPr>
      <w:bookmarkStart w:id="79" w:name="_Hlk39671870"/>
      <w:r>
        <w:rPr>
          <w:rFonts w:ascii="宋体" w:hAnsi="宋体"/>
          <w:bCs/>
          <w:szCs w:val="21"/>
        </w:rPr>
        <w:t>发生上述第1、2、</w:t>
      </w:r>
      <w:r>
        <w:rPr>
          <w:rFonts w:ascii="宋体" w:hAnsi="宋体" w:hint="eastAsia"/>
          <w:bCs/>
          <w:szCs w:val="21"/>
        </w:rPr>
        <w:t>3</w:t>
      </w:r>
      <w:r>
        <w:rPr>
          <w:rFonts w:ascii="宋体" w:hAnsi="宋体"/>
          <w:bCs/>
          <w:szCs w:val="21"/>
        </w:rPr>
        <w:t>、</w:t>
      </w:r>
      <w:r>
        <w:rPr>
          <w:rFonts w:ascii="宋体" w:hAnsi="宋体" w:hint="eastAsia"/>
          <w:bCs/>
          <w:szCs w:val="21"/>
        </w:rPr>
        <w:t>5、6、7、1</w:t>
      </w:r>
      <w:r>
        <w:rPr>
          <w:rFonts w:ascii="宋体" w:hAnsi="宋体"/>
          <w:bCs/>
          <w:szCs w:val="21"/>
        </w:rPr>
        <w:t>0项暂停申购情形</w:t>
      </w:r>
      <w:r>
        <w:rPr>
          <w:rFonts w:ascii="宋体" w:hAnsi="宋体" w:hint="eastAsia"/>
          <w:bCs/>
          <w:szCs w:val="21"/>
        </w:rPr>
        <w:t>之一且基金管理人决定暂停接受投资人申购申请</w:t>
      </w:r>
      <w:r>
        <w:rPr>
          <w:rFonts w:ascii="宋体" w:hAnsi="宋体"/>
          <w:bCs/>
          <w:szCs w:val="21"/>
        </w:rPr>
        <w:t>时，基金管理人应当根据有关规定在规定媒介上刊登暂停申购公告。</w:t>
      </w:r>
      <w:r>
        <w:rPr>
          <w:rFonts w:ascii="宋体" w:hAnsi="宋体" w:hint="eastAsia"/>
          <w:bCs/>
          <w:szCs w:val="21"/>
        </w:rPr>
        <w:t>发生上述第8、</w:t>
      </w:r>
      <w:r>
        <w:rPr>
          <w:rFonts w:ascii="宋体" w:hAnsi="宋体"/>
          <w:bCs/>
          <w:szCs w:val="21"/>
        </w:rPr>
        <w:t>9</w:t>
      </w:r>
      <w:r>
        <w:rPr>
          <w:rFonts w:ascii="宋体" w:hAnsi="宋体" w:hint="eastAsia"/>
          <w:bCs/>
          <w:szCs w:val="21"/>
        </w:rPr>
        <w:t>项情形时，基金管理人可以采取比例确认等方式对该投资人的申购申请进行限制，基金管理人有权拒绝该等全部或者部分申购申请。</w:t>
      </w:r>
      <w:r>
        <w:rPr>
          <w:rFonts w:ascii="宋体" w:hAnsi="宋体"/>
          <w:bCs/>
          <w:szCs w:val="21"/>
        </w:rPr>
        <w:t>如果投资人的申购申请被</w:t>
      </w:r>
      <w:r>
        <w:rPr>
          <w:rFonts w:ascii="宋体" w:hAnsi="宋体" w:hint="eastAsia"/>
          <w:bCs/>
          <w:szCs w:val="21"/>
        </w:rPr>
        <w:t>全部</w:t>
      </w:r>
      <w:r>
        <w:rPr>
          <w:rFonts w:ascii="宋体" w:hAnsi="宋体"/>
          <w:bCs/>
          <w:szCs w:val="21"/>
        </w:rPr>
        <w:t>或部分拒绝</w:t>
      </w:r>
      <w:r>
        <w:rPr>
          <w:rFonts w:ascii="宋体" w:hAnsi="宋体" w:hint="eastAsia"/>
          <w:bCs/>
          <w:szCs w:val="21"/>
        </w:rPr>
        <w:t>的</w:t>
      </w:r>
      <w:r>
        <w:rPr>
          <w:rFonts w:ascii="宋体" w:hAnsi="宋体"/>
          <w:bCs/>
          <w:szCs w:val="21"/>
        </w:rPr>
        <w:t>，被拒绝的申购款项</w:t>
      </w:r>
      <w:r>
        <w:rPr>
          <w:rFonts w:ascii="宋体" w:hAnsi="宋体" w:hint="eastAsia"/>
          <w:bCs/>
          <w:szCs w:val="21"/>
        </w:rPr>
        <w:t>本金</w:t>
      </w:r>
      <w:r>
        <w:rPr>
          <w:rFonts w:ascii="宋体" w:hAnsi="宋体"/>
          <w:bCs/>
          <w:szCs w:val="21"/>
        </w:rPr>
        <w:t>将退还给投资人。在暂停申购的情况消除时，基金管理人应及时恢复申购业务的办理。开放期间按暂停申购的期间相应</w:t>
      </w:r>
      <w:r>
        <w:rPr>
          <w:rFonts w:ascii="宋体" w:hAnsi="宋体" w:hint="eastAsia"/>
          <w:bCs/>
          <w:szCs w:val="21"/>
        </w:rPr>
        <w:t>顺延。</w:t>
      </w:r>
    </w:p>
    <w:bookmarkEnd w:id="79"/>
    <w:p w:rsidR="00822B64" w:rsidRDefault="00822B64">
      <w:pPr>
        <w:snapToGrid w:val="0"/>
        <w:spacing w:line="360" w:lineRule="auto"/>
        <w:ind w:firstLineChars="200" w:firstLine="420"/>
        <w:rPr>
          <w:rFonts w:ascii="宋体" w:hAnsi="宋体"/>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十一、暂停赎回或延缓支付赎回款项的情形</w:t>
      </w:r>
    </w:p>
    <w:p w:rsidR="00822B64" w:rsidRDefault="00E92BF7">
      <w:pPr>
        <w:adjustRightInd w:val="0"/>
        <w:snapToGrid w:val="0"/>
        <w:spacing w:line="360" w:lineRule="auto"/>
        <w:ind w:firstLine="420"/>
        <w:rPr>
          <w:rFonts w:ascii="宋体" w:hAnsi="宋体"/>
          <w:szCs w:val="21"/>
        </w:rPr>
      </w:pPr>
      <w:r>
        <w:rPr>
          <w:rFonts w:ascii="宋体" w:hAnsi="宋体" w:hint="eastAsia"/>
          <w:bCs/>
          <w:szCs w:val="21"/>
        </w:rPr>
        <w:t>在开放期内，</w:t>
      </w:r>
      <w:r>
        <w:rPr>
          <w:rFonts w:ascii="宋体" w:hAnsi="宋体"/>
          <w:szCs w:val="21"/>
        </w:rPr>
        <w:t>发生下列情形时，基金管理人可暂停接受投资人的赎回申请或延缓支付赎回款项：</w:t>
      </w:r>
    </w:p>
    <w:p w:rsidR="00822B64" w:rsidRDefault="00E92BF7">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因不可抗力导致基金管理人不能支付赎回款项。</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2、发生《基金合同》规定的暂停基金资产估值情况时。</w:t>
      </w:r>
    </w:p>
    <w:p w:rsidR="00822B64" w:rsidRDefault="00E92BF7">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、证券交易所</w:t>
      </w:r>
      <w:r>
        <w:rPr>
          <w:rFonts w:ascii="宋体" w:hAnsi="宋体"/>
          <w:szCs w:val="21"/>
        </w:rPr>
        <w:t>交易时间非正常停市，导致基金管理人无法计算当日基金资产净值</w:t>
      </w:r>
      <w:r>
        <w:rPr>
          <w:rFonts w:ascii="宋体" w:hAnsi="宋体" w:hint="eastAsia"/>
          <w:szCs w:val="21"/>
        </w:rPr>
        <w:t>或者无法办理赎回业务</w:t>
      </w:r>
      <w:r>
        <w:rPr>
          <w:rFonts w:ascii="宋体" w:hAnsi="宋体"/>
          <w:szCs w:val="21"/>
        </w:rPr>
        <w:t>。</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4、本基金的资产组合中的重要部分发生暂停交易或其他重大事件，继续接受赎回可能会影响或损害基金份额持有人利益时。</w:t>
      </w:r>
    </w:p>
    <w:p w:rsidR="00822B64" w:rsidRDefault="00E92BF7">
      <w:pPr>
        <w:adjustRightInd w:val="0"/>
        <w:snapToGrid w:val="0"/>
        <w:spacing w:line="360" w:lineRule="auto"/>
        <w:ind w:firstLine="420"/>
        <w:rPr>
          <w:rFonts w:ascii="宋体" w:hAnsi="宋体"/>
          <w:szCs w:val="21"/>
        </w:rPr>
      </w:pPr>
      <w:r>
        <w:rPr>
          <w:rFonts w:ascii="宋体" w:hAnsi="宋体"/>
          <w:szCs w:val="21"/>
        </w:rPr>
        <w:t>5</w:t>
      </w:r>
      <w:r>
        <w:rPr>
          <w:rFonts w:ascii="宋体" w:hAnsi="宋体" w:hint="eastAsia"/>
          <w:szCs w:val="21"/>
        </w:rPr>
        <w:t>、基金管理人、基金托管人、登记机构、销售机构、支付结算机构等因异常情况导致基金销售系统、基金销售支付结算系统、基金登记系统、基金会计系统等无法正常运行。</w:t>
      </w:r>
    </w:p>
    <w:p w:rsidR="00822B64" w:rsidRDefault="00E92BF7">
      <w:pPr>
        <w:adjustRightInd w:val="0"/>
        <w:snapToGrid w:val="0"/>
        <w:spacing w:line="360" w:lineRule="auto"/>
        <w:ind w:firstLine="420"/>
        <w:rPr>
          <w:rFonts w:ascii="宋体" w:hAnsi="宋体"/>
          <w:szCs w:val="21"/>
        </w:rPr>
      </w:pPr>
      <w:r>
        <w:rPr>
          <w:rFonts w:ascii="宋体" w:hAnsi="宋体"/>
          <w:szCs w:val="21"/>
        </w:rPr>
        <w:t>6</w:t>
      </w:r>
      <w:r>
        <w:rPr>
          <w:rFonts w:ascii="宋体" w:hAnsi="宋体" w:hint="eastAsia"/>
          <w:szCs w:val="21"/>
        </w:rPr>
        <w:t>、发生继续接受赎回申请将损害现有基金份额持有人利益的情形时，基金管理人可暂停接受基金份额持有人的赎回申请。</w:t>
      </w:r>
    </w:p>
    <w:p w:rsidR="00822B64" w:rsidRDefault="00E92BF7">
      <w:pPr>
        <w:adjustRightInd w:val="0"/>
        <w:snapToGrid w:val="0"/>
        <w:spacing w:line="360" w:lineRule="auto"/>
        <w:ind w:firstLine="420"/>
        <w:rPr>
          <w:rFonts w:ascii="宋体" w:hAnsi="宋体"/>
          <w:szCs w:val="21"/>
        </w:rPr>
      </w:pPr>
      <w:r>
        <w:rPr>
          <w:rFonts w:ascii="宋体" w:hAnsi="宋体"/>
          <w:szCs w:val="21"/>
        </w:rPr>
        <w:t>7</w:t>
      </w:r>
      <w:r>
        <w:rPr>
          <w:rFonts w:ascii="宋体" w:hAnsi="宋体" w:hint="eastAsia"/>
          <w:szCs w:val="21"/>
        </w:rPr>
        <w:t>、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8、</w:t>
      </w:r>
      <w:r>
        <w:rPr>
          <w:rFonts w:ascii="宋体" w:hAnsi="宋体"/>
          <w:szCs w:val="21"/>
        </w:rPr>
        <w:t>法律法规规定或中国证监会认定的其他情形。</w:t>
      </w:r>
    </w:p>
    <w:p w:rsidR="00822B64" w:rsidRDefault="00E92BF7">
      <w:pPr>
        <w:snapToGrid w:val="0"/>
        <w:spacing w:line="360" w:lineRule="auto"/>
        <w:ind w:firstLineChars="200" w:firstLine="420"/>
        <w:rPr>
          <w:rFonts w:ascii="宋体" w:hAnsi="宋体"/>
          <w:bCs/>
          <w:szCs w:val="21"/>
        </w:rPr>
      </w:pPr>
      <w:r>
        <w:rPr>
          <w:rFonts w:ascii="宋体" w:hAnsi="宋体"/>
          <w:szCs w:val="21"/>
        </w:rPr>
        <w:t>发生上述情形</w:t>
      </w:r>
      <w:r>
        <w:rPr>
          <w:rFonts w:ascii="宋体" w:hAnsi="宋体" w:hint="eastAsia"/>
          <w:bCs/>
          <w:szCs w:val="21"/>
        </w:rPr>
        <w:t>之一且基金管理人决定暂停赎回或延缓支付赎回款项</w:t>
      </w:r>
      <w:r>
        <w:rPr>
          <w:rFonts w:ascii="宋体" w:hAnsi="宋体"/>
          <w:szCs w:val="21"/>
        </w:rPr>
        <w:t>时，基金管理人应</w:t>
      </w:r>
      <w:r>
        <w:rPr>
          <w:rFonts w:ascii="宋体" w:hAnsi="宋体" w:hint="eastAsia"/>
          <w:szCs w:val="21"/>
        </w:rPr>
        <w:t>及时</w:t>
      </w:r>
      <w:r>
        <w:rPr>
          <w:rFonts w:ascii="宋体" w:hAnsi="宋体"/>
          <w:szCs w:val="21"/>
        </w:rPr>
        <w:t>报中国证监会备案，已确认的赎回申请，基金管理人应足额支付；如暂时不能足额支付，应将可支付部分按单个账户申请量占申请总量的比例分配给赎回申请人，未支付部分可延期支付。在暂停赎回的情况消除时，基金管理人应及时恢复赎回业务的办理并公告</w:t>
      </w:r>
      <w:r>
        <w:rPr>
          <w:rFonts w:ascii="宋体" w:hAnsi="宋体" w:hint="eastAsia"/>
          <w:szCs w:val="21"/>
        </w:rPr>
        <w:t>，且开放期时间将相应顺延</w:t>
      </w:r>
      <w:r>
        <w:rPr>
          <w:rFonts w:ascii="宋体" w:hAnsi="宋体"/>
          <w:szCs w:val="21"/>
        </w:rPr>
        <w:t>。</w:t>
      </w:r>
    </w:p>
    <w:p w:rsidR="00822B64" w:rsidRDefault="00822B64">
      <w:pPr>
        <w:snapToGrid w:val="0"/>
        <w:spacing w:line="360" w:lineRule="auto"/>
        <w:rPr>
          <w:rFonts w:ascii="宋体" w:hAnsi="宋体"/>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lastRenderedPageBreak/>
        <w:t>十二、巨额赎回的情形及处理方式</w:t>
      </w:r>
    </w:p>
    <w:p w:rsidR="00822B64" w:rsidRDefault="00E92BF7">
      <w:pPr>
        <w:snapToGrid w:val="0"/>
        <w:spacing w:line="360" w:lineRule="auto"/>
        <w:ind w:firstLineChars="200" w:firstLine="420"/>
        <w:rPr>
          <w:rFonts w:ascii="宋体" w:hAnsi="宋体"/>
          <w:bCs/>
          <w:szCs w:val="21"/>
        </w:rPr>
      </w:pPr>
      <w:bookmarkStart w:id="80" w:name="_Hlk47286577"/>
      <w:r>
        <w:rPr>
          <w:rFonts w:ascii="宋体" w:hAnsi="宋体"/>
          <w:bCs/>
          <w:szCs w:val="21"/>
        </w:rPr>
        <w:t>1</w:t>
      </w:r>
      <w:r>
        <w:rPr>
          <w:rFonts w:ascii="宋体" w:hAnsi="宋体" w:hint="eastAsia"/>
          <w:bCs/>
          <w:szCs w:val="21"/>
        </w:rPr>
        <w:t>、</w:t>
      </w:r>
      <w:r>
        <w:rPr>
          <w:rFonts w:ascii="宋体" w:hAnsi="宋体"/>
          <w:bCs/>
          <w:szCs w:val="21"/>
        </w:rPr>
        <w:t>巨额赎回的认定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若本基金开放期内的单个开放日，基金份额净赎回申请（赎回申请份额总数加上基金转换中转出申请份额总数后扣除申购申请份额总数及基金转换中转入申请份额总数后的余额）超过前一</w:t>
      </w:r>
      <w:r>
        <w:rPr>
          <w:rFonts w:ascii="宋体" w:hAnsi="宋体"/>
          <w:bCs/>
          <w:szCs w:val="21"/>
        </w:rPr>
        <w:t>工作</w:t>
      </w:r>
      <w:r>
        <w:rPr>
          <w:rFonts w:ascii="宋体" w:hAnsi="宋体" w:hint="eastAsia"/>
          <w:bCs/>
          <w:szCs w:val="21"/>
        </w:rPr>
        <w:t>日的基金总份额的</w:t>
      </w:r>
      <w:r>
        <w:rPr>
          <w:rFonts w:ascii="宋体" w:hAnsi="宋体"/>
          <w:bCs/>
          <w:szCs w:val="21"/>
        </w:rPr>
        <w:t>20%</w:t>
      </w:r>
      <w:r>
        <w:rPr>
          <w:rFonts w:ascii="宋体" w:hAnsi="宋体" w:hint="eastAsia"/>
          <w:bCs/>
          <w:szCs w:val="21"/>
        </w:rPr>
        <w:t>，即认为是发生了巨额赎回。</w:t>
      </w:r>
    </w:p>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巨额赎回的处理方式</w:t>
      </w:r>
    </w:p>
    <w:p w:rsidR="00822B64" w:rsidRDefault="00E92BF7">
      <w:pPr>
        <w:snapToGrid w:val="0"/>
        <w:spacing w:line="360" w:lineRule="auto"/>
        <w:ind w:firstLineChars="200" w:firstLine="420"/>
        <w:rPr>
          <w:rFonts w:ascii="宋体" w:hAnsi="宋体"/>
          <w:bCs/>
          <w:szCs w:val="21"/>
        </w:rPr>
      </w:pPr>
      <w:r>
        <w:rPr>
          <w:rFonts w:ascii="宋体" w:hAnsi="宋体"/>
          <w:bCs/>
          <w:szCs w:val="21"/>
        </w:rPr>
        <w:t>当基金</w:t>
      </w:r>
      <w:r>
        <w:rPr>
          <w:rFonts w:ascii="宋体" w:hAnsi="宋体" w:hint="eastAsia"/>
          <w:bCs/>
          <w:szCs w:val="21"/>
        </w:rPr>
        <w:t>开放期内的单个开放日</w:t>
      </w:r>
      <w:r>
        <w:rPr>
          <w:rFonts w:ascii="宋体" w:hAnsi="宋体"/>
          <w:bCs/>
          <w:szCs w:val="21"/>
        </w:rPr>
        <w:t>出现巨额赎回时，基金管理人可以根据基金当时的资产组合状况决定全额赎回</w:t>
      </w:r>
      <w:r>
        <w:rPr>
          <w:rFonts w:ascii="宋体" w:hAnsi="宋体" w:hint="eastAsia"/>
          <w:bCs/>
          <w:szCs w:val="21"/>
        </w:rPr>
        <w:t>、延缓支付赎回款项或延期办理赎回申请</w:t>
      </w:r>
      <w:r>
        <w:rPr>
          <w:rFonts w:ascii="宋体" w:hAnsi="宋体"/>
          <w:bCs/>
          <w:szCs w:val="21"/>
        </w:rPr>
        <w:t>。</w:t>
      </w:r>
    </w:p>
    <w:p w:rsidR="00822B64" w:rsidRDefault="00E92BF7">
      <w:pPr>
        <w:snapToGrid w:val="0"/>
        <w:spacing w:line="360" w:lineRule="auto"/>
        <w:ind w:firstLineChars="200" w:firstLine="420"/>
        <w:rPr>
          <w:rFonts w:ascii="宋体" w:hAnsi="宋体"/>
          <w:bCs/>
          <w:szCs w:val="21"/>
        </w:rPr>
      </w:pPr>
      <w:r>
        <w:rPr>
          <w:rFonts w:ascii="宋体" w:hAnsi="宋体"/>
          <w:bCs/>
          <w:szCs w:val="21"/>
        </w:rPr>
        <w:t>（1）全额赎回：当基金管理人认为有能力支付投资人的全部赎回申请时，按正常赎回程序执行。</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（2）延缓支付赎回款项</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当基金管理人认为支付投资人的赎回款项有困难或认为因支付投资人的赎回款项而进行的财产变现可能会对基金资产净值造成较大波动时，基金管理人应当接受并确认所有的赎回申请，当日按比例办理的赎回份额不得低于基金总份额的百分之二十，其余赎回申请可以延缓支付赎回款项，但延缓支付的期限不得超过二十个工作日，并应当在规定媒介上进行公告；延缓支付的赎回申请以赎回申请当日的基金份额净值为基础计算赎回金额。</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（3）延期办理赎回申请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在开放期内，当本基金发生巨额赎回，且单个基金份额持有人赎回申请超过前一个工作日基金总份额</w:t>
      </w:r>
      <w:r>
        <w:rPr>
          <w:rFonts w:ascii="宋体" w:hAnsi="宋体"/>
          <w:bCs/>
          <w:szCs w:val="21"/>
        </w:rPr>
        <w:t>30%</w:t>
      </w:r>
      <w:r>
        <w:rPr>
          <w:rFonts w:ascii="宋体" w:hAnsi="宋体" w:hint="eastAsia"/>
          <w:bCs/>
          <w:szCs w:val="21"/>
        </w:rPr>
        <w:t>以上时，若基金管理人认为支付该基金份额持有人的全部赎回款项有困难或者因支付该基金份额持有人的全部赎回款项而进行的财产变现可能会对基金资产净值造成较大波动时，基金管理人可以对当日该基金份额持有人占前一工作日基金总份额</w:t>
      </w:r>
      <w:r>
        <w:rPr>
          <w:rFonts w:ascii="宋体" w:hAnsi="宋体"/>
          <w:bCs/>
          <w:szCs w:val="21"/>
        </w:rPr>
        <w:t>30%</w:t>
      </w:r>
      <w:r>
        <w:rPr>
          <w:rFonts w:ascii="宋体" w:hAnsi="宋体" w:hint="eastAsia"/>
          <w:bCs/>
          <w:szCs w:val="21"/>
        </w:rPr>
        <w:t>的赎回申请和其他基金份额持有人的全部赎回申请进行确认，该基金份额持有人的其余赎回申请可以延期办理，对于延期办理的部分，如该基金份额持有人在提交赎回申请时选择取消赎回，则其当日未获受理的部分赎回申请将被撤销；选择延期赎回的，将自动转入下一个开放日继续赎回，并与下一开放日新增的赎回申请一并处理，无优先权并以下一开放日的基金份额净值为基础计算赎回金额，以此类推，直至全部赎回为止。如延期办理期限超过开放期的，开放期相应延长，直至全部赎回为止，延长的开放期内不办理申购，亦不接受新的赎回申请，即基金管理人仅为原开放期内因提交赎回申请超过前一工作日基金总份额</w:t>
      </w:r>
      <w:r>
        <w:rPr>
          <w:rFonts w:ascii="宋体" w:hAnsi="宋体"/>
          <w:bCs/>
          <w:szCs w:val="21"/>
        </w:rPr>
        <w:t>30%</w:t>
      </w:r>
      <w:r>
        <w:rPr>
          <w:rFonts w:ascii="宋体" w:hAnsi="宋体" w:hint="eastAsia"/>
          <w:bCs/>
          <w:szCs w:val="21"/>
        </w:rPr>
        <w:t>以上而被延期办理赎回的单个基金份额持有人办理赎回业务。若在延长的开放期结束时仍有未获处理赎回申请，则该等未获处理的赎回申请将被视为无效申请。如投资人在提交赎回申请时未作明确选择，投资人未能赎回部分作自动延期赎回处理。对于当日基金管理人已经确认的赎回申请，基金管理人认为有能力支付时，应按上述</w:t>
      </w:r>
      <w:r>
        <w:rPr>
          <w:rFonts w:ascii="宋体" w:hAnsi="宋体"/>
          <w:bCs/>
          <w:szCs w:val="21"/>
        </w:rPr>
        <w:t>“</w:t>
      </w:r>
      <w:r>
        <w:rPr>
          <w:rFonts w:ascii="宋体" w:hAnsi="宋体" w:hint="eastAsia"/>
          <w:bCs/>
          <w:szCs w:val="21"/>
        </w:rPr>
        <w:t>全部赎回</w:t>
      </w:r>
      <w:r>
        <w:rPr>
          <w:rFonts w:ascii="宋体" w:hAnsi="宋体"/>
          <w:bCs/>
          <w:szCs w:val="21"/>
        </w:rPr>
        <w:t>”</w:t>
      </w:r>
      <w:r>
        <w:rPr>
          <w:rFonts w:ascii="宋体" w:hAnsi="宋体" w:hint="eastAsia"/>
          <w:bCs/>
          <w:szCs w:val="21"/>
        </w:rPr>
        <w:t>的约定方式执行；当基金管理人认为支付该基金份额持有人的该部分赎回申请有困难时，基金管理人则应按上述</w:t>
      </w:r>
      <w:r>
        <w:rPr>
          <w:rFonts w:ascii="宋体" w:hAnsi="宋体"/>
          <w:bCs/>
          <w:szCs w:val="21"/>
        </w:rPr>
        <w:t>“</w:t>
      </w:r>
      <w:r>
        <w:rPr>
          <w:rFonts w:ascii="宋体" w:hAnsi="宋体" w:hint="eastAsia"/>
          <w:bCs/>
          <w:szCs w:val="21"/>
        </w:rPr>
        <w:t>延缓支付赎回款项</w:t>
      </w:r>
      <w:r>
        <w:rPr>
          <w:rFonts w:ascii="宋体" w:hAnsi="宋体"/>
          <w:bCs/>
          <w:szCs w:val="21"/>
        </w:rPr>
        <w:t>”</w:t>
      </w:r>
      <w:r>
        <w:rPr>
          <w:rFonts w:ascii="宋体" w:hAnsi="宋体" w:hint="eastAsia"/>
          <w:bCs/>
          <w:szCs w:val="21"/>
        </w:rPr>
        <w:t>的约定方式执行。</w:t>
      </w:r>
    </w:p>
    <w:p w:rsidR="00822B64" w:rsidRDefault="00E92BF7">
      <w:pPr>
        <w:snapToGrid w:val="0"/>
        <w:spacing w:line="360" w:lineRule="auto"/>
        <w:ind w:firstLineChars="200" w:firstLine="420"/>
        <w:rPr>
          <w:rFonts w:ascii="宋体" w:hAnsi="宋体"/>
          <w:bCs/>
          <w:szCs w:val="21"/>
        </w:rPr>
      </w:pPr>
      <w:r>
        <w:rPr>
          <w:rFonts w:ascii="宋体" w:hAnsi="宋体"/>
          <w:bCs/>
          <w:szCs w:val="21"/>
        </w:rPr>
        <w:lastRenderedPageBreak/>
        <w:t>3</w:t>
      </w:r>
      <w:r>
        <w:rPr>
          <w:rFonts w:ascii="宋体" w:hAnsi="宋体" w:hint="eastAsia"/>
          <w:bCs/>
          <w:szCs w:val="21"/>
        </w:rPr>
        <w:t>、巨额赎回的公告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当发生上述巨额赎回并延缓支付赎回款项时，基金管理人应当通过邮寄、传真、基金管理人网站或通过销售机构告知等方式在</w:t>
      </w:r>
      <w:r>
        <w:rPr>
          <w:rFonts w:ascii="宋体" w:hAnsi="宋体"/>
          <w:bCs/>
          <w:szCs w:val="21"/>
        </w:rPr>
        <w:t>3</w:t>
      </w:r>
      <w:r>
        <w:rPr>
          <w:rFonts w:ascii="宋体" w:hAnsi="宋体" w:hint="eastAsia"/>
          <w:bCs/>
          <w:szCs w:val="21"/>
        </w:rPr>
        <w:t>个交易日内通知基金份额持有人，说明有关处理方法，</w:t>
      </w:r>
      <w:r>
        <w:rPr>
          <w:rFonts w:ascii="宋体" w:hAnsi="宋体"/>
          <w:bCs/>
          <w:szCs w:val="21"/>
        </w:rPr>
        <w:t>并在</w:t>
      </w:r>
      <w:r>
        <w:rPr>
          <w:rFonts w:ascii="宋体" w:hAnsi="宋体" w:hint="eastAsia"/>
          <w:bCs/>
          <w:szCs w:val="21"/>
        </w:rPr>
        <w:t>2</w:t>
      </w:r>
      <w:r>
        <w:rPr>
          <w:rFonts w:ascii="宋体" w:hAnsi="宋体"/>
          <w:bCs/>
          <w:szCs w:val="21"/>
        </w:rPr>
        <w:t>日内</w:t>
      </w:r>
      <w:r>
        <w:rPr>
          <w:rFonts w:ascii="宋体" w:hAnsi="宋体" w:hint="eastAsia"/>
          <w:bCs/>
          <w:szCs w:val="21"/>
        </w:rPr>
        <w:t>在规定媒介上刊登公告。</w:t>
      </w:r>
    </w:p>
    <w:bookmarkEnd w:id="80"/>
    <w:p w:rsidR="00822B64" w:rsidRDefault="00822B64">
      <w:pPr>
        <w:pStyle w:val="a9"/>
        <w:snapToGrid w:val="0"/>
        <w:ind w:firstLineChars="196" w:firstLine="413"/>
        <w:rPr>
          <w:rFonts w:ascii="宋体" w:hAnsi="宋体"/>
          <w:b/>
          <w:sz w:val="21"/>
          <w:szCs w:val="21"/>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十三、</w:t>
      </w:r>
      <w:r>
        <w:rPr>
          <w:rFonts w:ascii="宋体" w:hAnsi="宋体"/>
          <w:b/>
          <w:sz w:val="21"/>
          <w:szCs w:val="21"/>
        </w:rPr>
        <w:t>暂停申购或赎回的公告和</w:t>
      </w:r>
      <w:r>
        <w:rPr>
          <w:rFonts w:ascii="宋体" w:hAnsi="宋体" w:hint="eastAsia"/>
          <w:b/>
          <w:sz w:val="21"/>
          <w:szCs w:val="21"/>
        </w:rPr>
        <w:t>重新开放申购或赎回的公告</w:t>
      </w:r>
    </w:p>
    <w:p w:rsidR="00822B64" w:rsidRDefault="00E92BF7">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发生上述暂停申购或赎回情况的，基金管理人应在规定期限内在规定媒介上刊登暂停公告。</w:t>
      </w:r>
    </w:p>
    <w:p w:rsidR="00822B64" w:rsidRDefault="00E92BF7">
      <w:pPr>
        <w:snapToGrid w:val="0"/>
        <w:spacing w:line="360" w:lineRule="auto"/>
        <w:ind w:firstLineChars="200" w:firstLine="420"/>
        <w:rPr>
          <w:rFonts w:ascii="宋体" w:hAnsi="宋体"/>
          <w:bCs/>
          <w:szCs w:val="21"/>
        </w:rPr>
      </w:pPr>
      <w:r>
        <w:rPr>
          <w:rFonts w:ascii="宋体" w:hAnsi="宋体"/>
          <w:bCs/>
          <w:szCs w:val="21"/>
        </w:rPr>
        <w:t>2、如发生暂停的时间为1日，基金管理人应于重新开放日，在规定媒介上刊登基金重新开放申购或赎回公告，并公布最近1个开放日的基金份额净值。</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3、如发生暂停的时间超过</w:t>
      </w:r>
      <w:r>
        <w:rPr>
          <w:rFonts w:ascii="宋体" w:hAnsi="宋体"/>
          <w:bCs/>
          <w:szCs w:val="21"/>
        </w:rPr>
        <w:t>1</w:t>
      </w:r>
      <w:r>
        <w:rPr>
          <w:rFonts w:ascii="宋体" w:hAnsi="宋体" w:hint="eastAsia"/>
          <w:bCs/>
          <w:szCs w:val="21"/>
        </w:rPr>
        <w:t>日，</w:t>
      </w:r>
      <w:r>
        <w:rPr>
          <w:rFonts w:ascii="宋体" w:hAnsi="宋体"/>
          <w:bCs/>
          <w:szCs w:val="21"/>
        </w:rPr>
        <w:t>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rsidR="00822B64" w:rsidRDefault="00E92BF7">
      <w:pPr>
        <w:snapToGrid w:val="0"/>
        <w:spacing w:line="360" w:lineRule="auto"/>
        <w:ind w:firstLineChars="200" w:firstLine="420"/>
        <w:rPr>
          <w:rFonts w:ascii="宋体" w:hAnsi="宋体"/>
          <w:bCs/>
        </w:rPr>
      </w:pPr>
      <w:r>
        <w:rPr>
          <w:rFonts w:ascii="宋体" w:hAnsi="宋体" w:hint="eastAsia"/>
          <w:bCs/>
        </w:rPr>
        <w:t>4、以上暂停及重新开放基金申购与赎回的公告规定，不适用于基金合同约定的封闭期与开放期运作方式转换或者暂停运作引起的暂停或重新开放申购与赎回的情形。</w:t>
      </w:r>
    </w:p>
    <w:p w:rsidR="00822B64" w:rsidRDefault="00822B64">
      <w:pPr>
        <w:snapToGrid w:val="0"/>
        <w:spacing w:line="360" w:lineRule="auto"/>
        <w:rPr>
          <w:rFonts w:ascii="宋体" w:hAnsi="宋体"/>
        </w:rPr>
      </w:pPr>
    </w:p>
    <w:p w:rsidR="00822B64" w:rsidRDefault="00E92BF7">
      <w:pPr>
        <w:pStyle w:val="a9"/>
        <w:snapToGrid w:val="0"/>
        <w:ind w:firstLineChars="196" w:firstLine="413"/>
        <w:rPr>
          <w:rFonts w:ascii="宋体" w:hAnsi="宋体"/>
          <w:b/>
          <w:sz w:val="21"/>
          <w:szCs w:val="21"/>
        </w:rPr>
      </w:pPr>
      <w:r>
        <w:rPr>
          <w:rFonts w:ascii="宋体" w:hAnsi="宋体" w:hint="eastAsia"/>
          <w:b/>
          <w:sz w:val="21"/>
          <w:szCs w:val="21"/>
        </w:rPr>
        <w:t>十四、基金转换</w:t>
      </w:r>
    </w:p>
    <w:p w:rsidR="00822B64" w:rsidRDefault="00E92BF7">
      <w:pPr>
        <w:snapToGrid w:val="0"/>
        <w:spacing w:line="360" w:lineRule="auto"/>
        <w:ind w:firstLineChars="200" w:firstLine="420"/>
        <w:rPr>
          <w:rFonts w:ascii="宋体" w:hAnsi="宋体"/>
          <w:bCs/>
          <w:szCs w:val="21"/>
        </w:rPr>
      </w:pPr>
      <w:r>
        <w:rPr>
          <w:rFonts w:ascii="宋体" w:hAnsi="宋体"/>
          <w:szCs w:val="21"/>
        </w:rPr>
        <w:t>基金管理人可以根据相关法律法规以及基金合同的规定决定开办本基金与基金管理人管理</w:t>
      </w:r>
      <w:r>
        <w:rPr>
          <w:rFonts w:ascii="宋体" w:hAnsi="宋体" w:hint="eastAsia"/>
          <w:szCs w:val="21"/>
        </w:rPr>
        <w:t>且开通转换</w:t>
      </w:r>
      <w:r>
        <w:rPr>
          <w:rFonts w:ascii="宋体" w:hAnsi="宋体"/>
          <w:szCs w:val="21"/>
        </w:rPr>
        <w:t>的其他基金之间的转换业务，基金转换可以收取一定的转换费，相关规则由基金管理人届时根据相关法律法规及基金合同的规定制定并公告，并提前告知基金托管人与相关机构。</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hint="eastAsia"/>
          <w:b/>
          <w:bCs/>
          <w:szCs w:val="21"/>
        </w:rPr>
        <w:t>十五、基金份额的转让</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六、</w:t>
      </w:r>
      <w:r>
        <w:rPr>
          <w:rFonts w:ascii="宋体" w:hAnsi="宋体"/>
          <w:b/>
          <w:bCs/>
          <w:szCs w:val="21"/>
        </w:rPr>
        <w:t>基金的非交易过户</w:t>
      </w:r>
    </w:p>
    <w:p w:rsidR="00822B64" w:rsidRDefault="00E92BF7">
      <w:pPr>
        <w:adjustRightInd w:val="0"/>
        <w:snapToGrid w:val="0"/>
        <w:spacing w:line="360" w:lineRule="auto"/>
        <w:ind w:firstLine="420"/>
        <w:rPr>
          <w:rFonts w:ascii="宋体" w:hAnsi="宋体"/>
          <w:szCs w:val="21"/>
        </w:rPr>
      </w:pPr>
      <w:r>
        <w:rPr>
          <w:rFonts w:ascii="宋体" w:hAnsi="宋体"/>
          <w:szCs w:val="21"/>
        </w:rPr>
        <w:t>基金的非交易过户是指基金登记机构受理继承、捐赠和司法强制执行</w:t>
      </w:r>
      <w:r>
        <w:rPr>
          <w:rFonts w:ascii="宋体" w:hAnsi="宋体" w:hint="eastAsia"/>
          <w:szCs w:val="21"/>
        </w:rPr>
        <w:t>等情形</w:t>
      </w:r>
      <w:r>
        <w:rPr>
          <w:rFonts w:ascii="宋体" w:hAnsi="宋体"/>
          <w:szCs w:val="21"/>
        </w:rPr>
        <w:t>而产生的非交易过户以及登记机构认可、符合法律法规的其</w:t>
      </w:r>
      <w:r>
        <w:rPr>
          <w:rFonts w:ascii="宋体" w:hAnsi="宋体" w:hint="eastAsia"/>
          <w:szCs w:val="21"/>
        </w:rPr>
        <w:t>它</w:t>
      </w:r>
      <w:r>
        <w:rPr>
          <w:rFonts w:ascii="宋体" w:hAnsi="宋体"/>
          <w:szCs w:val="21"/>
        </w:rPr>
        <w:t>非交易过户。无论在上述何种情况下，接受划转的主体必须是依法可以持有本基金基金份额的投资人。</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继承是指基金份额持有人死亡，其持有的基金份额由其合法的继承人继承；捐赠指基金</w:t>
      </w:r>
      <w:r>
        <w:rPr>
          <w:rFonts w:ascii="宋体" w:hAnsi="宋体" w:hint="eastAsia"/>
          <w:szCs w:val="21"/>
        </w:rPr>
        <w:lastRenderedPageBreak/>
        <w:t>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七、</w:t>
      </w:r>
      <w:r>
        <w:rPr>
          <w:rFonts w:ascii="宋体" w:hAnsi="宋体"/>
          <w:b/>
          <w:bCs/>
          <w:szCs w:val="21"/>
        </w:rPr>
        <w:t>基金的转托管</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基金份额持有人可办理已持有基金份额在不同销售机构之间的转托管，基金销售机构可以按照规定的标准收取转托管费。</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八、定期定额投资</w:t>
      </w:r>
      <w:r>
        <w:rPr>
          <w:rFonts w:ascii="宋体" w:hAnsi="宋体"/>
          <w:b/>
          <w:bCs/>
          <w:szCs w:val="21"/>
        </w:rPr>
        <w:t>计划</w:t>
      </w:r>
    </w:p>
    <w:p w:rsidR="00822B64" w:rsidRDefault="00E92BF7">
      <w:pPr>
        <w:snapToGrid w:val="0"/>
        <w:spacing w:line="360" w:lineRule="auto"/>
        <w:ind w:firstLineChars="200" w:firstLine="420"/>
        <w:rPr>
          <w:rFonts w:ascii="宋体" w:hAnsi="宋体"/>
          <w:bCs/>
          <w:szCs w:val="21"/>
        </w:rPr>
      </w:pPr>
      <w:r>
        <w:rPr>
          <w:rFonts w:ascii="宋体" w:hAnsi="宋体"/>
          <w:szCs w:val="21"/>
        </w:rPr>
        <w:t>基金管理人可以为投资人办理</w:t>
      </w:r>
      <w:r>
        <w:rPr>
          <w:rFonts w:ascii="宋体" w:hAnsi="宋体" w:hint="eastAsia"/>
          <w:szCs w:val="21"/>
        </w:rPr>
        <w:t>定期定额投资</w:t>
      </w:r>
      <w:r>
        <w:rPr>
          <w:rFonts w:ascii="宋体" w:hAnsi="宋体"/>
          <w:szCs w:val="21"/>
        </w:rPr>
        <w:t>计划，具体规则由基金管理人另行规定。投资人在办理</w:t>
      </w:r>
      <w:r>
        <w:rPr>
          <w:rFonts w:ascii="宋体" w:hAnsi="宋体" w:hint="eastAsia"/>
          <w:szCs w:val="21"/>
        </w:rPr>
        <w:t>定期定额投资</w:t>
      </w:r>
      <w:r>
        <w:rPr>
          <w:rFonts w:ascii="宋体" w:hAnsi="宋体"/>
          <w:szCs w:val="21"/>
        </w:rPr>
        <w:t>计划时可自行约定每期</w:t>
      </w:r>
      <w:r>
        <w:rPr>
          <w:rFonts w:ascii="宋体" w:hAnsi="宋体" w:hint="eastAsia"/>
          <w:szCs w:val="21"/>
        </w:rPr>
        <w:t>扣款</w:t>
      </w:r>
      <w:r>
        <w:rPr>
          <w:rFonts w:ascii="宋体" w:hAnsi="宋体"/>
          <w:szCs w:val="21"/>
        </w:rPr>
        <w:t>金额，每期</w:t>
      </w:r>
      <w:r>
        <w:rPr>
          <w:rFonts w:ascii="宋体" w:hAnsi="宋体" w:hint="eastAsia"/>
          <w:szCs w:val="21"/>
        </w:rPr>
        <w:t>扣款</w:t>
      </w:r>
      <w:r>
        <w:rPr>
          <w:rFonts w:ascii="宋体" w:hAnsi="宋体"/>
          <w:szCs w:val="21"/>
        </w:rPr>
        <w:t>金额必须不低于基金管理人在相关公告或更新的招募说明书中所规定的</w:t>
      </w:r>
      <w:r>
        <w:rPr>
          <w:rFonts w:ascii="宋体" w:hAnsi="宋体" w:hint="eastAsia"/>
          <w:szCs w:val="21"/>
        </w:rPr>
        <w:t>定期定额投资</w:t>
      </w:r>
      <w:r>
        <w:rPr>
          <w:rFonts w:ascii="宋体" w:hAnsi="宋体"/>
          <w:szCs w:val="21"/>
        </w:rPr>
        <w:t>计划最低申购金额。</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九、</w:t>
      </w:r>
      <w:r>
        <w:rPr>
          <w:rFonts w:ascii="宋体" w:hAnsi="宋体"/>
          <w:b/>
          <w:bCs/>
          <w:szCs w:val="21"/>
        </w:rPr>
        <w:t>基金</w:t>
      </w:r>
      <w:r>
        <w:rPr>
          <w:rFonts w:ascii="宋体" w:hAnsi="宋体" w:hint="eastAsia"/>
          <w:b/>
          <w:bCs/>
          <w:szCs w:val="21"/>
        </w:rPr>
        <w:t>份额</w:t>
      </w:r>
      <w:r>
        <w:rPr>
          <w:rFonts w:ascii="宋体" w:hAnsi="宋体"/>
          <w:b/>
          <w:bCs/>
          <w:szCs w:val="21"/>
        </w:rPr>
        <w:t>的冻结、解冻</w:t>
      </w:r>
      <w:r>
        <w:rPr>
          <w:rFonts w:ascii="宋体" w:hAnsi="宋体" w:hint="eastAsia"/>
          <w:b/>
          <w:bCs/>
          <w:szCs w:val="21"/>
        </w:rPr>
        <w:t>和质押</w:t>
      </w:r>
    </w:p>
    <w:p w:rsidR="00822B64" w:rsidRDefault="00E92BF7">
      <w:pPr>
        <w:spacing w:line="360" w:lineRule="auto"/>
        <w:ind w:firstLineChars="200" w:firstLine="420"/>
        <w:rPr>
          <w:bCs/>
          <w:sz w:val="24"/>
        </w:rPr>
      </w:pPr>
      <w:r>
        <w:rPr>
          <w:rFonts w:ascii="宋体" w:hAnsi="宋体"/>
          <w:szCs w:val="21"/>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w:t>
      </w:r>
      <w:r>
        <w:rPr>
          <w:bCs/>
          <w:sz w:val="24"/>
        </w:rPr>
        <w:t>基金合同</w:t>
      </w:r>
      <w:r>
        <w:rPr>
          <w:rFonts w:hint="eastAsia"/>
          <w:bCs/>
          <w:sz w:val="24"/>
        </w:rPr>
        <w:t>另有规定的除外。</w:t>
      </w:r>
    </w:p>
    <w:p w:rsidR="00822B64" w:rsidRDefault="00E92BF7">
      <w:pPr>
        <w:spacing w:line="360" w:lineRule="auto"/>
        <w:ind w:firstLineChars="200" w:firstLine="480"/>
        <w:rPr>
          <w:bCs/>
          <w:sz w:val="24"/>
        </w:rPr>
      </w:pPr>
      <w:r>
        <w:rPr>
          <w:rFonts w:hint="eastAsia"/>
          <w:bCs/>
          <w:sz w:val="24"/>
        </w:rPr>
        <w:t>如相关法律法规允许基金管理人办理基金份额的质押业务或其他基金业务，基金管理人将制定和实施相应的业务规则。</w:t>
      </w:r>
    </w:p>
    <w:p w:rsidR="00822B64" w:rsidRDefault="00E92BF7">
      <w:pPr>
        <w:snapToGrid w:val="0"/>
        <w:spacing w:line="360" w:lineRule="auto"/>
        <w:ind w:firstLineChars="200" w:firstLine="422"/>
        <w:rPr>
          <w:bCs/>
          <w:sz w:val="24"/>
        </w:rPr>
      </w:pPr>
      <w:r>
        <w:rPr>
          <w:rFonts w:ascii="宋体" w:hAnsi="宋体" w:hint="eastAsia"/>
          <w:b/>
          <w:bCs/>
          <w:szCs w:val="21"/>
        </w:rPr>
        <w:t>二十、</w:t>
      </w:r>
      <w:r>
        <w:rPr>
          <w:rFonts w:hint="eastAsia"/>
          <w:bCs/>
          <w:sz w:val="24"/>
        </w:rPr>
        <w:t>当技术条件成熟，本基金管理人在不违反法律法规且对基金份额持有人利益无实质不利影响的前提下，经与基金托管人协商一致，可根据具体情况对上述申购和赎回的安排进行补充和调整，或者办理基金份额的转让、过户、质押等业务，届时无须召开基金份额持有人大会审议但须提前公告。</w:t>
      </w:r>
    </w:p>
    <w:p w:rsidR="00822B64" w:rsidRDefault="00E92BF7">
      <w:pPr>
        <w:snapToGrid w:val="0"/>
        <w:spacing w:line="360" w:lineRule="auto"/>
        <w:ind w:firstLineChars="200" w:firstLine="482"/>
        <w:rPr>
          <w:bCs/>
          <w:sz w:val="24"/>
        </w:rPr>
      </w:pPr>
      <w:r>
        <w:rPr>
          <w:rFonts w:hint="eastAsia"/>
          <w:b/>
          <w:sz w:val="24"/>
        </w:rPr>
        <w:t>二十一</w:t>
      </w:r>
      <w:r>
        <w:rPr>
          <w:rFonts w:hint="eastAsia"/>
          <w:bCs/>
          <w:sz w:val="24"/>
        </w:rPr>
        <w:t>、实施侧袋机制期间本基金的申购与赎回</w:t>
      </w:r>
    </w:p>
    <w:p w:rsidR="00822B64" w:rsidRDefault="00E92BF7">
      <w:pPr>
        <w:snapToGrid w:val="0"/>
        <w:spacing w:line="360" w:lineRule="auto"/>
        <w:ind w:firstLineChars="200" w:firstLine="480"/>
        <w:rPr>
          <w:bCs/>
          <w:sz w:val="24"/>
        </w:rPr>
      </w:pPr>
      <w:r>
        <w:rPr>
          <w:rFonts w:hint="eastAsia"/>
          <w:bCs/>
          <w:sz w:val="24"/>
        </w:rPr>
        <w:t>本基金实施侧袋机制的，本基金的申购和赎回安排详见招募说明书“侧袋机制”部分的规定。</w:t>
      </w:r>
    </w:p>
    <w:p w:rsidR="00822B64" w:rsidRDefault="00E92BF7">
      <w:pPr>
        <w:pStyle w:val="ab"/>
        <w:snapToGrid w:val="0"/>
        <w:spacing w:line="360" w:lineRule="auto"/>
        <w:ind w:firstLineChars="200"/>
        <w:rPr>
          <w:rFonts w:ascii="宋体" w:hAnsi="宋体"/>
          <w:szCs w:val="24"/>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81" w:name="_Toc360794519"/>
      <w:bookmarkStart w:id="82" w:name="_Toc360793853"/>
      <w:bookmarkStart w:id="83" w:name="_Toc362455186"/>
      <w:bookmarkStart w:id="84" w:name="_Toc48808887"/>
      <w:bookmarkStart w:id="85" w:name="_Toc360794103"/>
      <w:bookmarkStart w:id="86" w:name="_Toc360793501"/>
      <w:bookmarkStart w:id="87" w:name="_Toc360794411"/>
      <w:bookmarkStart w:id="88" w:name="_Toc362533458"/>
      <w:r>
        <w:rPr>
          <w:rFonts w:ascii="宋体" w:eastAsia="宋体" w:hAnsi="宋体" w:hint="eastAsia"/>
        </w:rPr>
        <w:lastRenderedPageBreak/>
        <w:t>基金的投资</w:t>
      </w:r>
      <w:bookmarkEnd w:id="81"/>
      <w:bookmarkEnd w:id="82"/>
      <w:bookmarkEnd w:id="83"/>
      <w:bookmarkEnd w:id="84"/>
      <w:bookmarkEnd w:id="85"/>
      <w:bookmarkEnd w:id="86"/>
      <w:bookmarkEnd w:id="87"/>
      <w:bookmarkEnd w:id="88"/>
    </w:p>
    <w:p w:rsidR="00822B64" w:rsidRDefault="00822B64">
      <w:pPr>
        <w:snapToGrid w:val="0"/>
        <w:spacing w:line="360" w:lineRule="auto"/>
        <w:ind w:firstLineChars="200" w:firstLine="422"/>
        <w:rPr>
          <w:rFonts w:ascii="宋体" w:hAnsi="宋体"/>
          <w:b/>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一、投资目标</w:t>
      </w:r>
    </w:p>
    <w:p w:rsidR="00822B64" w:rsidRDefault="00E92BF7">
      <w:pPr>
        <w:snapToGrid w:val="0"/>
        <w:spacing w:line="360" w:lineRule="auto"/>
        <w:ind w:firstLineChars="200" w:firstLine="420"/>
        <w:rPr>
          <w:bCs/>
          <w:szCs w:val="21"/>
        </w:rPr>
      </w:pPr>
      <w:r>
        <w:rPr>
          <w:rFonts w:hint="eastAsia"/>
          <w:bCs/>
          <w:szCs w:val="21"/>
        </w:rPr>
        <w:t>本基金采取严格的买入持有到期投资策略，投资于剩余期限</w:t>
      </w:r>
      <w:r>
        <w:rPr>
          <w:rFonts w:hint="eastAsia"/>
          <w:bCs/>
          <w:szCs w:val="21"/>
        </w:rPr>
        <w:t>(</w:t>
      </w:r>
      <w:r>
        <w:rPr>
          <w:rFonts w:hint="eastAsia"/>
          <w:bCs/>
          <w:szCs w:val="21"/>
        </w:rPr>
        <w:t>或回售期限</w:t>
      </w:r>
      <w:r>
        <w:rPr>
          <w:rFonts w:hint="eastAsia"/>
          <w:bCs/>
          <w:szCs w:val="21"/>
        </w:rPr>
        <w:t>)</w:t>
      </w:r>
      <w:r>
        <w:rPr>
          <w:rFonts w:hint="eastAsia"/>
          <w:bCs/>
          <w:szCs w:val="21"/>
        </w:rPr>
        <w:t>不超过基金剩余封闭期的固定收益类工具，力求为投资者获取稳健的收益。</w:t>
      </w:r>
    </w:p>
    <w:p w:rsidR="00822B64" w:rsidRDefault="00822B64">
      <w:pPr>
        <w:snapToGrid w:val="0"/>
        <w:spacing w:line="360" w:lineRule="auto"/>
        <w:ind w:firstLineChars="200" w:firstLine="422"/>
        <w:rPr>
          <w:rFonts w:ascii="宋体" w:hAnsi="宋体"/>
          <w:b/>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二、投资范围</w:t>
      </w:r>
    </w:p>
    <w:p w:rsidR="00822B64" w:rsidRDefault="00E92BF7">
      <w:pPr>
        <w:snapToGrid w:val="0"/>
        <w:spacing w:line="360" w:lineRule="auto"/>
        <w:ind w:firstLineChars="200" w:firstLine="420"/>
        <w:rPr>
          <w:rFonts w:ascii="宋体" w:hAnsi="宋体"/>
          <w:bCs/>
          <w:szCs w:val="21"/>
        </w:rPr>
      </w:pPr>
      <w:bookmarkStart w:id="89" w:name="_Hlk18256612"/>
      <w:r>
        <w:rPr>
          <w:rFonts w:ascii="宋体" w:hAnsi="宋体" w:hint="eastAsia"/>
          <w:bCs/>
          <w:szCs w:val="21"/>
        </w:rPr>
        <w:t>本基金的投资范围为具有良好流动性的金融工具，包括债券</w:t>
      </w:r>
      <w:r>
        <w:rPr>
          <w:rFonts w:ascii="宋体" w:hAnsi="宋体"/>
          <w:bCs/>
          <w:szCs w:val="21"/>
        </w:rPr>
        <w:t>(</w:t>
      </w:r>
      <w:r>
        <w:rPr>
          <w:rFonts w:ascii="宋体" w:hAnsi="宋体" w:hint="eastAsia"/>
          <w:bCs/>
          <w:szCs w:val="21"/>
        </w:rPr>
        <w:t>国债、金融债、央行票据、公司债、企业债、地方政府债、次级债、可分离交易可转债的纯债部分、短期融资券、超短期融资券、中期票据</w:t>
      </w:r>
      <w:r>
        <w:rPr>
          <w:rFonts w:ascii="宋体" w:hAnsi="宋体"/>
          <w:bCs/>
          <w:szCs w:val="21"/>
        </w:rPr>
        <w:t>)</w:t>
      </w:r>
      <w:r>
        <w:rPr>
          <w:rFonts w:ascii="宋体" w:hAnsi="宋体" w:hint="eastAsia"/>
          <w:bCs/>
          <w:szCs w:val="21"/>
        </w:rPr>
        <w:t>、资产支持证券、债券回购、同业存单、银行存款</w:t>
      </w:r>
      <w:r>
        <w:rPr>
          <w:rFonts w:ascii="宋体" w:hAnsi="宋体"/>
          <w:bCs/>
          <w:szCs w:val="21"/>
        </w:rPr>
        <w:t>(</w:t>
      </w:r>
      <w:r>
        <w:rPr>
          <w:rFonts w:ascii="宋体" w:hAnsi="宋体" w:hint="eastAsia"/>
          <w:bCs/>
          <w:szCs w:val="21"/>
        </w:rPr>
        <w:t>包括协议存款、定期存款等)以及法律法规或中国证监会允许基金投资的其他金融工具</w:t>
      </w:r>
      <w:r>
        <w:rPr>
          <w:rFonts w:ascii="宋体" w:hAnsi="宋体"/>
          <w:bCs/>
          <w:szCs w:val="21"/>
        </w:rPr>
        <w:t>(</w:t>
      </w:r>
      <w:r>
        <w:rPr>
          <w:rFonts w:ascii="宋体" w:hAnsi="宋体" w:hint="eastAsia"/>
          <w:bCs/>
          <w:szCs w:val="21"/>
        </w:rPr>
        <w:t>但须符合中国证监会相关规定</w:t>
      </w:r>
      <w:r>
        <w:rPr>
          <w:rFonts w:ascii="宋体" w:hAnsi="宋体"/>
          <w:bCs/>
          <w:szCs w:val="21"/>
        </w:rPr>
        <w:t>)</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本基金不投资于股票，也不投资于可转换债券</w:t>
      </w:r>
      <w:r>
        <w:rPr>
          <w:rFonts w:ascii="宋体" w:hAnsi="宋体"/>
          <w:bCs/>
          <w:szCs w:val="21"/>
        </w:rPr>
        <w:t>（可分离交易可转债的纯债部分除外）</w:t>
      </w:r>
      <w:r>
        <w:rPr>
          <w:rFonts w:ascii="宋体" w:hAnsi="宋体" w:hint="eastAsia"/>
          <w:bCs/>
          <w:szCs w:val="21"/>
        </w:rPr>
        <w:t>、可交换债券，本基金投资于信用债的评级必须在</w:t>
      </w:r>
      <w:r>
        <w:rPr>
          <w:rFonts w:ascii="宋体" w:hAnsi="宋体"/>
          <w:bCs/>
          <w:szCs w:val="21"/>
        </w:rPr>
        <w:t>AA</w:t>
      </w:r>
      <w:r>
        <w:rPr>
          <w:rFonts w:ascii="宋体" w:hAnsi="宋体" w:hint="eastAsia"/>
          <w:bCs/>
          <w:szCs w:val="21"/>
        </w:rPr>
        <w:t>（含）及以上。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如法律法规或监管机构</w:t>
      </w:r>
      <w:r>
        <w:rPr>
          <w:rFonts w:ascii="宋体" w:hAnsi="宋体"/>
          <w:bCs/>
          <w:szCs w:val="21"/>
        </w:rPr>
        <w:t>以</w:t>
      </w:r>
      <w:r>
        <w:rPr>
          <w:rFonts w:ascii="宋体" w:hAnsi="宋体" w:hint="eastAsia"/>
          <w:bCs/>
          <w:szCs w:val="21"/>
        </w:rPr>
        <w:t>后允许基金投资其他品种，基金管理人在履行适当程序后，可以将其纳入投资范围，并可依据届时有效的法律法规与基金托管人协商一致后适时合理地调整投资范围。</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投资组合资产配置比例为：本基金对债券的投资比例不低于基金资产的80%。但应开放期流动性需要，为保护基金份额持有人利益，每个开放期开始前3个月、开放期及开放期结束后3个月内，本基金的债券资产的投资比例可不受前述限制。开放期内，本基金持有现金或者到期日在一年以内的政府债券投资比例不低于基金资产净值的5%，其中现金不包括结算备付金、存出保证金和应收申购款等；封闭期内，本基金不受前述5%的限制。</w:t>
      </w:r>
    </w:p>
    <w:bookmarkEnd w:id="89"/>
    <w:p w:rsidR="00822B64" w:rsidRDefault="00E92BF7">
      <w:pPr>
        <w:snapToGrid w:val="0"/>
        <w:spacing w:line="360" w:lineRule="auto"/>
        <w:rPr>
          <w:rFonts w:ascii="宋体" w:hAnsi="宋体"/>
          <w:b/>
          <w:bCs/>
          <w:szCs w:val="21"/>
        </w:rPr>
      </w:pPr>
      <w:r>
        <w:rPr>
          <w:rFonts w:ascii="宋体" w:hAnsi="宋体" w:hint="eastAsia"/>
          <w:b/>
          <w:bCs/>
          <w:szCs w:val="21"/>
        </w:rPr>
        <w:t xml:space="preserve">    </w:t>
      </w:r>
    </w:p>
    <w:p w:rsidR="00822B64" w:rsidRDefault="00E92BF7">
      <w:pPr>
        <w:snapToGrid w:val="0"/>
        <w:spacing w:line="360" w:lineRule="auto"/>
        <w:ind w:firstLineChars="200" w:firstLine="422"/>
        <w:rPr>
          <w:rFonts w:ascii="宋体" w:hAnsi="宋体"/>
          <w:b/>
          <w:bCs/>
          <w:szCs w:val="21"/>
        </w:rPr>
      </w:pPr>
      <w:r>
        <w:rPr>
          <w:rFonts w:ascii="宋体" w:hAnsi="宋体"/>
          <w:b/>
          <w:bCs/>
          <w:szCs w:val="21"/>
        </w:rPr>
        <w:t>三、投资策略</w:t>
      </w:r>
    </w:p>
    <w:p w:rsidR="00822B64" w:rsidRDefault="00E92BF7">
      <w:pPr>
        <w:snapToGrid w:val="0"/>
        <w:spacing w:line="360" w:lineRule="auto"/>
        <w:ind w:firstLineChars="200" w:firstLine="420"/>
        <w:rPr>
          <w:bCs/>
        </w:rPr>
      </w:pPr>
      <w:bookmarkStart w:id="90" w:name="_Hlk36209196"/>
      <w:r>
        <w:rPr>
          <w:rFonts w:hint="eastAsia"/>
          <w:bCs/>
        </w:rPr>
        <w:t>（一）封闭期投资策略</w:t>
      </w:r>
    </w:p>
    <w:p w:rsidR="00822B64" w:rsidRDefault="00E92BF7">
      <w:pPr>
        <w:snapToGrid w:val="0"/>
        <w:spacing w:line="360" w:lineRule="auto"/>
        <w:ind w:firstLineChars="200" w:firstLine="420"/>
        <w:rPr>
          <w:bCs/>
        </w:rPr>
      </w:pPr>
      <w:r>
        <w:rPr>
          <w:rFonts w:hint="eastAsia"/>
          <w:bCs/>
        </w:rPr>
        <w:t>本基金以封闭期为周期进行投资运作。为力争基金资产在开放前可完全变现，本基金在封闭期内采用买入并持有到期投资策略，所投金融资产以收取合同现金</w:t>
      </w:r>
    </w:p>
    <w:p w:rsidR="00822B64" w:rsidRDefault="00E92BF7">
      <w:pPr>
        <w:snapToGrid w:val="0"/>
        <w:spacing w:line="360" w:lineRule="auto"/>
        <w:ind w:firstLineChars="200" w:firstLine="420"/>
        <w:rPr>
          <w:bCs/>
        </w:rPr>
      </w:pPr>
      <w:r>
        <w:rPr>
          <w:rFonts w:hint="eastAsia"/>
          <w:bCs/>
        </w:rPr>
        <w:t>流量为目的并持有到期，所投资产到期日（或回售日）不得晚于封闭运作期到期日。本基金投资含回售权的债券时，应在投资该债券前，确定行使回售权或持有至到期的时间；债券到期日晚于封闭运作期到期日的，基金管理人应当行使回售权而不得持有至到期日。基金管理人可以基于基金份额持有人利益优先原则，在不违反《企业会计准则》的前提下，对尚未到期的固定收益类品种进行处置。</w:t>
      </w:r>
    </w:p>
    <w:p w:rsidR="00822B64" w:rsidRDefault="00E92BF7">
      <w:pPr>
        <w:snapToGrid w:val="0"/>
        <w:spacing w:line="360" w:lineRule="auto"/>
        <w:ind w:firstLineChars="200" w:firstLine="420"/>
        <w:rPr>
          <w:bCs/>
        </w:rPr>
      </w:pPr>
      <w:r>
        <w:rPr>
          <w:rFonts w:hint="eastAsia"/>
          <w:bCs/>
        </w:rPr>
        <w:t>1</w:t>
      </w:r>
      <w:r>
        <w:rPr>
          <w:rFonts w:hint="eastAsia"/>
          <w:bCs/>
        </w:rPr>
        <w:t>、类属资产配置策略</w:t>
      </w:r>
    </w:p>
    <w:p w:rsidR="00822B64" w:rsidRDefault="00E92BF7">
      <w:pPr>
        <w:snapToGrid w:val="0"/>
        <w:spacing w:line="360" w:lineRule="auto"/>
        <w:ind w:firstLineChars="200" w:firstLine="420"/>
        <w:rPr>
          <w:bCs/>
        </w:rPr>
      </w:pPr>
      <w:r>
        <w:rPr>
          <w:rFonts w:hint="eastAsia"/>
          <w:bCs/>
        </w:rPr>
        <w:lastRenderedPageBreak/>
        <w:t>对不同债券资产类品种收益与风险进行评估和判断，分析各类属资产的相对收益和风险因素，确定不同债券种类的配置比例。主要决策依据包括对未来的宏观经济和利率环境，利差变动情况、市场容量情况、信用等级情况和流动性情况等的分析和预测。通过情景模拟的分析方法，判断各个债券类属的预期持有期回报，运用修正的均值</w:t>
      </w:r>
      <w:r>
        <w:rPr>
          <w:rFonts w:hint="eastAsia"/>
          <w:bCs/>
        </w:rPr>
        <w:t>-</w:t>
      </w:r>
      <w:r>
        <w:rPr>
          <w:rFonts w:hint="eastAsia"/>
          <w:bCs/>
        </w:rPr>
        <w:t>方差等模型，确定类属资产的最优权重，选择最能符合基金风险收益特征的资产组合。</w:t>
      </w:r>
    </w:p>
    <w:p w:rsidR="00822B64" w:rsidRDefault="00E92BF7">
      <w:pPr>
        <w:snapToGrid w:val="0"/>
        <w:spacing w:line="360" w:lineRule="auto"/>
        <w:ind w:firstLineChars="200" w:firstLine="420"/>
        <w:rPr>
          <w:bCs/>
        </w:rPr>
      </w:pPr>
      <w:r>
        <w:rPr>
          <w:rFonts w:hint="eastAsia"/>
          <w:bCs/>
        </w:rPr>
        <w:t>2</w:t>
      </w:r>
      <w:r>
        <w:rPr>
          <w:rFonts w:hint="eastAsia"/>
          <w:bCs/>
        </w:rPr>
        <w:t>、利率债投资策略</w:t>
      </w:r>
    </w:p>
    <w:p w:rsidR="00822B64" w:rsidRDefault="00E92BF7">
      <w:pPr>
        <w:snapToGrid w:val="0"/>
        <w:spacing w:line="360" w:lineRule="auto"/>
        <w:ind w:firstLineChars="200" w:firstLine="420"/>
        <w:rPr>
          <w:bCs/>
        </w:rPr>
      </w:pPr>
      <w:r>
        <w:rPr>
          <w:rFonts w:hint="eastAsia"/>
          <w:bCs/>
        </w:rPr>
        <w:t>本基金将通过对我国经济增速、价格指数走势、宏观经济政策等变量将进行深入研究和分析，对投资周期内我国债券市场的利率趋势、利率中枢和利率期限结构等进行系统、全面的预测和判断。以此为依据，结合利率风险特征，确定最优的组合目标久期，获取相对稳健的收益。</w:t>
      </w:r>
    </w:p>
    <w:p w:rsidR="00822B64" w:rsidRDefault="00E92BF7">
      <w:pPr>
        <w:snapToGrid w:val="0"/>
        <w:spacing w:line="360" w:lineRule="auto"/>
        <w:ind w:firstLineChars="200" w:firstLine="420"/>
        <w:rPr>
          <w:bCs/>
        </w:rPr>
      </w:pPr>
      <w:r>
        <w:rPr>
          <w:rFonts w:hint="eastAsia"/>
          <w:bCs/>
        </w:rPr>
        <w:t>3</w:t>
      </w:r>
      <w:r>
        <w:rPr>
          <w:rFonts w:hint="eastAsia"/>
          <w:bCs/>
        </w:rPr>
        <w:t>、信用债投资策略</w:t>
      </w:r>
    </w:p>
    <w:p w:rsidR="00822B64" w:rsidRDefault="00E92BF7">
      <w:pPr>
        <w:snapToGrid w:val="0"/>
        <w:spacing w:line="360" w:lineRule="auto"/>
        <w:ind w:firstLineChars="200" w:firstLine="420"/>
        <w:rPr>
          <w:bCs/>
        </w:rPr>
      </w:pPr>
      <w:r>
        <w:rPr>
          <w:rFonts w:hint="eastAsia"/>
          <w:bCs/>
        </w:rPr>
        <w:t>本基金由于采用买入并持有策略，在债券投资上持有剩余期限（或回售期限）不超过基金剩余封闭期的债券品种。在信用债的配置方面，本基金将采用自上而下和自下而上相结合的投资策略，通过对经济周期、政策周期、行业生命周期、发行主体内外部评级情况和信用利差水平等进行综合判断，结合税收差异、集中度、市场结构、流动性等因素，采用定量分析和定性分析相结合的方法，综合判断个券的投资价值，以提升产品组合收益，有效管理产品组合的信用风险。本基金将规避高信用风险的行业和主体，对行业、区域和个券的配置进行分散化处理。</w:t>
      </w:r>
    </w:p>
    <w:p w:rsidR="00822B64" w:rsidRDefault="00E92BF7">
      <w:pPr>
        <w:snapToGrid w:val="0"/>
        <w:spacing w:line="360" w:lineRule="auto"/>
        <w:ind w:firstLineChars="200" w:firstLine="420"/>
        <w:rPr>
          <w:bCs/>
        </w:rPr>
      </w:pPr>
      <w:r>
        <w:rPr>
          <w:rFonts w:hint="eastAsia"/>
          <w:bCs/>
        </w:rPr>
        <w:t>在具体配置过程中，本基金将充分考虑和准确衡量信用债市场的利差当前所处的绝对水平和相对位置，以及未来的信用利差的走势，以此确定信用债的配置比例、行业分布、期限结构、券种类别等。同时，本基金也将在参考外部评级的同时，重点通过内部评级系统对个券的资质进行独立、客观的综合风险评定，积极寻找当前信用利差被市场高估的品种，获取未来信用利差收缩带来的收益。</w:t>
      </w:r>
    </w:p>
    <w:p w:rsidR="00822B64" w:rsidRDefault="00E92BF7">
      <w:pPr>
        <w:snapToGrid w:val="0"/>
        <w:spacing w:line="360" w:lineRule="auto"/>
        <w:ind w:firstLineChars="200" w:firstLine="420"/>
        <w:rPr>
          <w:bCs/>
        </w:rPr>
      </w:pPr>
      <w:r>
        <w:rPr>
          <w:rFonts w:hint="eastAsia"/>
          <w:bCs/>
        </w:rPr>
        <w:t>为有效控制信用风险，本基金将定期对所投资的债券的发行人、担保人、抵质押物等多方面的信息进行跟踪和综合评估。对存在信用风险隐患的个券，需要及时制定风险处置预案。</w:t>
      </w:r>
    </w:p>
    <w:p w:rsidR="00822B64" w:rsidRDefault="00E92BF7">
      <w:pPr>
        <w:snapToGrid w:val="0"/>
        <w:spacing w:line="360" w:lineRule="auto"/>
        <w:ind w:firstLineChars="200" w:firstLine="420"/>
        <w:rPr>
          <w:bCs/>
        </w:rPr>
      </w:pPr>
      <w:r>
        <w:rPr>
          <w:rFonts w:hint="eastAsia"/>
          <w:bCs/>
        </w:rPr>
        <w:t>4</w:t>
      </w:r>
      <w:r>
        <w:rPr>
          <w:rFonts w:hint="eastAsia"/>
          <w:bCs/>
        </w:rPr>
        <w:t>、持有到期策略</w:t>
      </w:r>
    </w:p>
    <w:p w:rsidR="00822B64" w:rsidRDefault="00E92BF7">
      <w:pPr>
        <w:snapToGrid w:val="0"/>
        <w:spacing w:line="360" w:lineRule="auto"/>
        <w:ind w:firstLineChars="200" w:firstLine="420"/>
        <w:rPr>
          <w:bCs/>
        </w:rPr>
      </w:pPr>
      <w:r>
        <w:rPr>
          <w:rFonts w:hint="eastAsia"/>
          <w:bCs/>
        </w:rPr>
        <w:t>本基金成立后，在每一封闭期的建仓期内将根据基金合同的规定，买入剩余期限（或回售期限）不超过基金剩余封闭期的固定收益类工具。本基金将在封闭期内采取严格的买入持有到期投资策略，一般情况下，持有的固定收益品种和结构在封闭期内不会发生变化。</w:t>
      </w:r>
    </w:p>
    <w:p w:rsidR="00822B64" w:rsidRDefault="00E92BF7">
      <w:pPr>
        <w:snapToGrid w:val="0"/>
        <w:spacing w:line="360" w:lineRule="auto"/>
        <w:ind w:firstLineChars="200" w:firstLine="420"/>
        <w:rPr>
          <w:bCs/>
        </w:rPr>
      </w:pPr>
      <w:r>
        <w:rPr>
          <w:rFonts w:hint="eastAsia"/>
          <w:bCs/>
        </w:rPr>
        <w:t>5</w:t>
      </w:r>
      <w:r>
        <w:rPr>
          <w:rFonts w:hint="eastAsia"/>
          <w:bCs/>
        </w:rPr>
        <w:t>、杠杆投资策略</w:t>
      </w:r>
    </w:p>
    <w:p w:rsidR="00822B64" w:rsidRDefault="00E92BF7">
      <w:pPr>
        <w:snapToGrid w:val="0"/>
        <w:spacing w:line="360" w:lineRule="auto"/>
        <w:ind w:firstLineChars="200" w:firstLine="420"/>
        <w:rPr>
          <w:bCs/>
        </w:rPr>
      </w:pPr>
      <w:r>
        <w:rPr>
          <w:rFonts w:hint="eastAsia"/>
          <w:bCs/>
        </w:rPr>
        <w:t>本基金将在考虑债券投资的风险收益情况，以及回购成本等因素的情况下，在风险可控以及法律法规允许的范围内，通过债券回购，放大杠杆进行投资操作，以获息差收益。本基金将在封闭期内进行杠杆投资，杠杆放大部分仍投资于剩余期限（或回售期限）不超过基金剩余封闭期的固定收益类工具，并仍采取买入持有到期投资策略。</w:t>
      </w:r>
    </w:p>
    <w:p w:rsidR="00822B64" w:rsidRDefault="00E92BF7">
      <w:pPr>
        <w:snapToGrid w:val="0"/>
        <w:spacing w:line="360" w:lineRule="auto"/>
        <w:ind w:firstLineChars="200" w:firstLine="420"/>
        <w:rPr>
          <w:bCs/>
        </w:rPr>
      </w:pPr>
      <w:r>
        <w:rPr>
          <w:rFonts w:hint="eastAsia"/>
          <w:bCs/>
        </w:rPr>
        <w:lastRenderedPageBreak/>
        <w:t>6</w:t>
      </w:r>
      <w:r>
        <w:rPr>
          <w:rFonts w:hint="eastAsia"/>
          <w:bCs/>
        </w:rPr>
        <w:t>、资产支持证券投资策略</w:t>
      </w:r>
    </w:p>
    <w:p w:rsidR="00822B64" w:rsidRDefault="00E92BF7">
      <w:pPr>
        <w:snapToGrid w:val="0"/>
        <w:spacing w:line="360" w:lineRule="auto"/>
        <w:ind w:firstLineChars="200" w:firstLine="420"/>
        <w:rPr>
          <w:bCs/>
        </w:rPr>
      </w:pPr>
      <w:r>
        <w:rPr>
          <w:rFonts w:hint="eastAsia"/>
          <w:bCs/>
        </w:rPr>
        <w:t>资产支持证券投资关键在于对基础资产质量及未来现金流的分析，本基金将在国内资产支持证券具体政策框架下，采用基本面分析和数量化模型相结合，对个券进行风险分析和价值评估后进行投资。本基金将严格控制资产支持证券的总体投资规模并进行分散投资，以降低相关风险和获取长期稳健收益。</w:t>
      </w:r>
    </w:p>
    <w:p w:rsidR="00822B64" w:rsidRDefault="00E92BF7">
      <w:pPr>
        <w:snapToGrid w:val="0"/>
        <w:spacing w:line="360" w:lineRule="auto"/>
        <w:ind w:firstLineChars="200" w:firstLine="420"/>
        <w:rPr>
          <w:bCs/>
        </w:rPr>
      </w:pPr>
      <w:r>
        <w:rPr>
          <w:rFonts w:hint="eastAsia"/>
          <w:bCs/>
        </w:rPr>
        <w:t>（二）开放期投资策略</w:t>
      </w:r>
    </w:p>
    <w:p w:rsidR="00822B64" w:rsidRDefault="00E92BF7">
      <w:pPr>
        <w:snapToGrid w:val="0"/>
        <w:spacing w:line="360" w:lineRule="auto"/>
        <w:ind w:firstLineChars="200" w:firstLine="420"/>
        <w:rPr>
          <w:bCs/>
        </w:rPr>
      </w:pPr>
      <w:r>
        <w:rPr>
          <w:rFonts w:hint="eastAsia"/>
          <w:bCs/>
        </w:rPr>
        <w:t>开放期内，本基金为保持较高的组合流动性，方便投资人安排投资，在遵守本基金有关投资限制与投资比例的前提下，将主要投资于高流动性的投资品种，防范流动性风险，满足开放期流动性的需求。</w:t>
      </w:r>
      <w:bookmarkEnd w:id="90"/>
    </w:p>
    <w:p w:rsidR="00822B64" w:rsidRDefault="00E92BF7">
      <w:pPr>
        <w:snapToGrid w:val="0"/>
        <w:spacing w:line="360" w:lineRule="auto"/>
        <w:ind w:firstLineChars="200" w:firstLine="420"/>
        <w:rPr>
          <w:bCs/>
        </w:rPr>
      </w:pPr>
      <w:r>
        <w:rPr>
          <w:rFonts w:hint="eastAsia"/>
          <w:bCs/>
        </w:rPr>
        <w:t>未来，随着市场的发展和基金管理运作的需要，基金管理人可以在不改变投资目标的前提下，遵循法律法规的规定，履行适当程序后相应调整或更新投资策略，并在招募说明书更新中公告。</w:t>
      </w:r>
    </w:p>
    <w:p w:rsidR="00822B64" w:rsidRDefault="00E92BF7">
      <w:pPr>
        <w:snapToGrid w:val="0"/>
        <w:spacing w:line="360" w:lineRule="auto"/>
        <w:ind w:firstLineChars="200" w:firstLine="422"/>
        <w:rPr>
          <w:rFonts w:ascii="宋体" w:hAnsi="宋体"/>
          <w:b/>
          <w:bCs/>
          <w:szCs w:val="21"/>
        </w:rPr>
      </w:pPr>
      <w:r>
        <w:rPr>
          <w:rFonts w:ascii="宋体" w:hAnsi="宋体" w:hint="eastAsia"/>
          <w:b/>
          <w:bCs/>
          <w:szCs w:val="21"/>
        </w:rPr>
        <w:t>四</w:t>
      </w:r>
      <w:r>
        <w:rPr>
          <w:rFonts w:ascii="宋体" w:hAnsi="宋体"/>
          <w:b/>
          <w:bCs/>
          <w:szCs w:val="21"/>
        </w:rPr>
        <w:t>、投资限制</w:t>
      </w:r>
    </w:p>
    <w:p w:rsidR="00822B64" w:rsidRDefault="00E92BF7">
      <w:pPr>
        <w:snapToGrid w:val="0"/>
        <w:spacing w:line="360" w:lineRule="auto"/>
        <w:ind w:firstLineChars="200" w:firstLine="420"/>
        <w:rPr>
          <w:rFonts w:ascii="宋体" w:hAnsi="宋体"/>
          <w:bCs/>
          <w:szCs w:val="21"/>
        </w:rPr>
      </w:pPr>
      <w:r>
        <w:rPr>
          <w:rFonts w:ascii="宋体" w:hAnsi="宋体"/>
          <w:bCs/>
          <w:szCs w:val="21"/>
        </w:rPr>
        <w:t>1、组合限制</w:t>
      </w:r>
    </w:p>
    <w:p w:rsidR="00822B64" w:rsidRDefault="00E92BF7">
      <w:pPr>
        <w:snapToGrid w:val="0"/>
        <w:spacing w:line="360" w:lineRule="auto"/>
        <w:ind w:firstLineChars="200" w:firstLine="420"/>
        <w:rPr>
          <w:rFonts w:ascii="宋体" w:hAnsi="宋体"/>
          <w:bCs/>
          <w:szCs w:val="21"/>
        </w:rPr>
      </w:pPr>
      <w:bookmarkStart w:id="91" w:name="_Hlk18256660"/>
      <w:r>
        <w:rPr>
          <w:rFonts w:ascii="宋体" w:hAnsi="宋体"/>
          <w:bCs/>
          <w:szCs w:val="21"/>
        </w:rPr>
        <w:t>基金的投资组合应遵循以下限制：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（1）本基金对债券的投资比例不低于基金资产的80%，</w:t>
      </w:r>
      <w:r>
        <w:rPr>
          <w:rFonts w:ascii="宋体" w:hAnsi="宋体" w:hint="eastAsia"/>
          <w:bCs/>
          <w:szCs w:val="21"/>
        </w:rPr>
        <w:t>但应开放期流动性需要，为保护基金份额持有人利益，在每次开放期开始前3个月、开放期及开放期结束后3个月的期间内，本基金债券资产的投资比例可不受上述比例限制；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）开放期内，保持不低于基金资产净值5%的现金或者到期日在一年以内的政府债券，其中现金不包括结算备付金、存出保证金和应收申购款等；封闭期内，本基金不受上述5%的限制；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w:t>
      </w:r>
      <w:r>
        <w:rPr>
          <w:rFonts w:ascii="宋体" w:hAnsi="宋体" w:hint="eastAsia"/>
          <w:bCs/>
          <w:szCs w:val="21"/>
        </w:rPr>
        <w:t>）</w:t>
      </w:r>
      <w:r>
        <w:rPr>
          <w:rFonts w:ascii="宋体" w:hAnsi="宋体"/>
          <w:bCs/>
          <w:szCs w:val="21"/>
        </w:rPr>
        <w:t>本基金持有一家公司</w:t>
      </w:r>
      <w:r>
        <w:rPr>
          <w:rFonts w:ascii="宋体" w:hAnsi="宋体" w:hint="eastAsia"/>
          <w:bCs/>
          <w:szCs w:val="21"/>
        </w:rPr>
        <w:t>发行</w:t>
      </w:r>
      <w:r>
        <w:rPr>
          <w:rFonts w:ascii="宋体" w:hAnsi="宋体"/>
          <w:bCs/>
          <w:szCs w:val="21"/>
        </w:rPr>
        <w:t>的</w:t>
      </w:r>
      <w:r>
        <w:rPr>
          <w:rFonts w:ascii="宋体" w:hAnsi="宋体" w:hint="eastAsia"/>
          <w:bCs/>
          <w:szCs w:val="21"/>
        </w:rPr>
        <w:t>证券</w:t>
      </w:r>
      <w:r>
        <w:rPr>
          <w:rFonts w:ascii="宋体" w:hAnsi="宋体"/>
          <w:bCs/>
          <w:szCs w:val="21"/>
        </w:rPr>
        <w:t>，其市值不超过基金资产净值的10</w:t>
      </w:r>
      <w:r>
        <w:rPr>
          <w:rFonts w:ascii="宋体" w:hAnsi="宋体" w:hint="eastAsia"/>
          <w:bCs/>
          <w:szCs w:val="21"/>
        </w:rPr>
        <w:t>%</w:t>
      </w:r>
      <w:r>
        <w:rPr>
          <w:rFonts w:ascii="宋体" w:hAnsi="宋体"/>
          <w:bCs/>
          <w:szCs w:val="21"/>
        </w:rPr>
        <w:t>；</w:t>
      </w:r>
    </w:p>
    <w:p w:rsidR="00822B64" w:rsidRDefault="00E92BF7">
      <w:pPr>
        <w:snapToGrid w:val="0"/>
        <w:spacing w:line="360" w:lineRule="auto"/>
        <w:ind w:firstLineChars="200" w:firstLine="420"/>
        <w:rPr>
          <w:rFonts w:ascii="宋体" w:hAnsi="宋体"/>
          <w:bCs/>
          <w:szCs w:val="21"/>
        </w:rPr>
      </w:pPr>
      <w:r>
        <w:rPr>
          <w:rFonts w:ascii="宋体" w:hAnsi="宋体"/>
          <w:szCs w:val="21"/>
        </w:rPr>
        <w:t>（4）本基金管理人管理的全部基金持有一家公司发行的证券，不超过该证券的10</w:t>
      </w:r>
      <w:r>
        <w:rPr>
          <w:rFonts w:ascii="宋体" w:hAnsi="宋体" w:hint="eastAsia"/>
          <w:szCs w:val="21"/>
        </w:rPr>
        <w:t>%，完全按照有关指数的构成比例进行证券投资的基金品种可以不受此条款规定的比例限制</w:t>
      </w:r>
      <w:r>
        <w:rPr>
          <w:rFonts w:ascii="宋体" w:hAnsi="宋体"/>
          <w:szCs w:val="21"/>
        </w:rPr>
        <w:t>；</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）本基金投资于同一原始权益人的各类资产支持证券的比例，不得超过基金资产净值的10%；</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）本基金持有的全部资产支持证券，其市值不得超过基金资产净值的20%；</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）本基金持有的同一（指同一信用级别）资产支持证券的比例，不得超过该资产支持证券规模的</w:t>
      </w:r>
      <w:r>
        <w:rPr>
          <w:rFonts w:ascii="宋体" w:hAnsi="宋体"/>
          <w:szCs w:val="21"/>
        </w:rPr>
        <w:t>10</w:t>
      </w:r>
      <w:r>
        <w:rPr>
          <w:rFonts w:ascii="宋体" w:hAnsi="宋体" w:hint="eastAsia"/>
          <w:szCs w:val="21"/>
        </w:rPr>
        <w:t>%；</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8</w:t>
      </w:r>
      <w:r>
        <w:rPr>
          <w:rFonts w:ascii="宋体" w:hAnsi="宋体" w:hint="eastAsia"/>
          <w:szCs w:val="21"/>
        </w:rPr>
        <w:t>）本基金管理人管理的全部基金投资于同一原始权益人的各类资产支持证券，不得超过其各类资产支持证券合计规模的10%；</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）本基金应投资于信用级别评级为BBB以上（含BBB）的资产支持证券。基金持有资产支持证券期间，如果其信用等级下降、不再符合投资标准，应在评级报告发布之日起3个月内予以全部卖出；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lastRenderedPageBreak/>
        <w:t>（1</w:t>
      </w:r>
      <w:r>
        <w:rPr>
          <w:rFonts w:ascii="宋体" w:hAnsi="宋体"/>
          <w:bCs/>
          <w:szCs w:val="21"/>
        </w:rPr>
        <w:t>0</w:t>
      </w:r>
      <w:r>
        <w:rPr>
          <w:rFonts w:ascii="宋体" w:hAnsi="宋体" w:hint="eastAsia"/>
          <w:bCs/>
          <w:szCs w:val="21"/>
        </w:rPr>
        <w:t>）在封闭期内，本基金资产总值不得超过基金资产净值的200%；在开放期内，本基金资产总值不得超过基金资产净值的140%；</w:t>
      </w:r>
    </w:p>
    <w:p w:rsidR="00822B64" w:rsidRDefault="00E92BF7">
      <w:pPr>
        <w:snapToGrid w:val="0"/>
        <w:spacing w:line="360" w:lineRule="auto"/>
        <w:ind w:firstLineChars="200" w:firstLine="420"/>
        <w:rPr>
          <w:rFonts w:ascii="宋体" w:hAnsi="宋体"/>
          <w:bCs/>
          <w:szCs w:val="21"/>
        </w:rPr>
      </w:pPr>
      <w:bookmarkStart w:id="92" w:name="_Hlk45822572"/>
      <w:r>
        <w:rPr>
          <w:rFonts w:ascii="宋体" w:hAnsi="宋体" w:hint="eastAsia"/>
          <w:bCs/>
          <w:szCs w:val="21"/>
        </w:rPr>
        <w:t>（1</w:t>
      </w:r>
      <w:r>
        <w:rPr>
          <w:rFonts w:ascii="宋体" w:hAnsi="宋体"/>
          <w:bCs/>
          <w:szCs w:val="21"/>
        </w:rPr>
        <w:t>1</w:t>
      </w:r>
      <w:r>
        <w:rPr>
          <w:rFonts w:ascii="宋体" w:hAnsi="宋体" w:hint="eastAsia"/>
          <w:bCs/>
          <w:szCs w:val="21"/>
        </w:rPr>
        <w:t>）在封闭期内，本基金投资的各类金融工具的到期日或回售日不得晚于该封闭期的最后一日；</w:t>
      </w:r>
      <w:bookmarkEnd w:id="92"/>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12</w:t>
      </w:r>
      <w:r>
        <w:rPr>
          <w:rFonts w:ascii="宋体" w:hAnsi="宋体" w:hint="eastAsia"/>
          <w:bCs/>
          <w:szCs w:val="21"/>
        </w:rPr>
        <w:t>）本基金在开放期内主动投资于流动性受限资产的市值合计不得超过本基金资产净值的15%。因证券市场波动、基金规模变动等基金管理人之外的因素致使本基金不符合该比例限制的，基金管理人不得主动新增流动性受限资产的投资；</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3</w:t>
      </w:r>
      <w:r>
        <w:rPr>
          <w:rFonts w:ascii="宋体" w:hAnsi="宋体" w:hint="eastAsia"/>
          <w:bCs/>
          <w:szCs w:val="21"/>
        </w:rPr>
        <w:t>）本基金与私募类证券资管产品及中国证监会认定的其他主体为交易对手开展逆回购交易的，可接受质押品的资质要求应当与基金合同约定的投资范围保持一致；</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1</w:t>
      </w:r>
      <w:r>
        <w:rPr>
          <w:rFonts w:ascii="宋体" w:hAnsi="宋体"/>
          <w:bCs/>
          <w:szCs w:val="21"/>
        </w:rPr>
        <w:t>4）</w:t>
      </w:r>
      <w:r>
        <w:rPr>
          <w:rFonts w:ascii="宋体" w:hAnsi="宋体" w:hint="eastAsia"/>
          <w:bCs/>
          <w:szCs w:val="21"/>
        </w:rPr>
        <w:t>法律法规及中国证监会规定的和《基金合同》约定的其他投资限制。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除第（</w:t>
      </w:r>
      <w:r>
        <w:rPr>
          <w:rFonts w:ascii="宋体" w:hAnsi="宋体"/>
          <w:bCs/>
          <w:szCs w:val="21"/>
        </w:rPr>
        <w:t>2</w:t>
      </w:r>
      <w:r>
        <w:rPr>
          <w:rFonts w:ascii="宋体" w:hAnsi="宋体" w:hint="eastAsia"/>
          <w:bCs/>
          <w:szCs w:val="21"/>
        </w:rPr>
        <w:t>）、（</w:t>
      </w:r>
      <w:r>
        <w:rPr>
          <w:rFonts w:ascii="宋体" w:hAnsi="宋体"/>
          <w:bCs/>
          <w:szCs w:val="21"/>
        </w:rPr>
        <w:t>9</w:t>
      </w:r>
      <w:r>
        <w:rPr>
          <w:rFonts w:ascii="宋体" w:hAnsi="宋体" w:hint="eastAsia"/>
          <w:bCs/>
          <w:szCs w:val="21"/>
        </w:rPr>
        <w:t>）、（1</w:t>
      </w:r>
      <w:r>
        <w:rPr>
          <w:rFonts w:ascii="宋体" w:hAnsi="宋体"/>
          <w:bCs/>
          <w:szCs w:val="21"/>
        </w:rPr>
        <w:t>2</w:t>
      </w:r>
      <w:r>
        <w:rPr>
          <w:rFonts w:ascii="宋体" w:hAnsi="宋体" w:hint="eastAsia"/>
          <w:bCs/>
          <w:szCs w:val="21"/>
        </w:rPr>
        <w:t>）、（1</w:t>
      </w:r>
      <w:r>
        <w:rPr>
          <w:rFonts w:ascii="宋体" w:hAnsi="宋体"/>
          <w:bCs/>
          <w:szCs w:val="21"/>
        </w:rPr>
        <w:t>3</w:t>
      </w:r>
      <w:r>
        <w:rPr>
          <w:rFonts w:ascii="宋体" w:hAnsi="宋体" w:hint="eastAsia"/>
          <w:bCs/>
          <w:szCs w:val="21"/>
        </w:rPr>
        <w:t>）项外，</w:t>
      </w:r>
      <w:r>
        <w:rPr>
          <w:rFonts w:ascii="宋体" w:hAnsi="宋体"/>
          <w:bCs/>
          <w:szCs w:val="21"/>
        </w:rPr>
        <w:t>因证券市场波动、</w:t>
      </w:r>
      <w:r>
        <w:rPr>
          <w:rFonts w:ascii="宋体" w:hAnsi="宋体" w:hint="eastAsia"/>
          <w:bCs/>
          <w:szCs w:val="21"/>
        </w:rPr>
        <w:t>证券发行人</w:t>
      </w:r>
      <w:r>
        <w:rPr>
          <w:rFonts w:ascii="宋体" w:hAnsi="宋体"/>
          <w:bCs/>
          <w:szCs w:val="21"/>
        </w:rPr>
        <w:t>合并、基金规模变动等基金管理人之外的因素致使基金投资比例不符合上述规定投资比例的，基金管理人应当在10个交易日内进行调整</w:t>
      </w:r>
      <w:r>
        <w:rPr>
          <w:rFonts w:ascii="宋体" w:hAnsi="宋体" w:hint="eastAsia"/>
          <w:bCs/>
          <w:szCs w:val="21"/>
        </w:rPr>
        <w:t>，但法律法规或中国证监会规定的特殊情形除外</w:t>
      </w:r>
      <w:r>
        <w:rPr>
          <w:rFonts w:ascii="宋体" w:hAnsi="宋体"/>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基金管理人应当自基金合同生效之日起</w:t>
      </w:r>
      <w:r>
        <w:rPr>
          <w:rFonts w:ascii="宋体" w:hAnsi="宋体"/>
          <w:bCs/>
          <w:szCs w:val="21"/>
        </w:rPr>
        <w:t xml:space="preserve">6 </w:t>
      </w:r>
      <w:r>
        <w:rPr>
          <w:rFonts w:ascii="宋体" w:hAnsi="宋体"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w:t>
      </w:r>
      <w:r>
        <w:rPr>
          <w:rFonts w:ascii="宋体" w:hAnsi="宋体"/>
          <w:bCs/>
          <w:szCs w:val="21"/>
        </w:rPr>
        <w:t>法律法规或监管部门取消</w:t>
      </w:r>
      <w:r>
        <w:rPr>
          <w:rFonts w:ascii="宋体" w:hAnsi="宋体" w:hint="eastAsia"/>
          <w:bCs/>
          <w:szCs w:val="21"/>
        </w:rPr>
        <w:t>或调整</w:t>
      </w:r>
      <w:r>
        <w:rPr>
          <w:rFonts w:ascii="宋体" w:hAnsi="宋体"/>
          <w:bCs/>
          <w:szCs w:val="21"/>
        </w:rPr>
        <w:t>上述限制，如适用于本基金，基金管理人</w:t>
      </w:r>
      <w:r>
        <w:rPr>
          <w:rFonts w:ascii="宋体" w:hAnsi="宋体" w:hint="eastAsia"/>
          <w:bCs/>
          <w:szCs w:val="21"/>
        </w:rPr>
        <w:t>在</w:t>
      </w:r>
      <w:r>
        <w:rPr>
          <w:rFonts w:ascii="宋体" w:hAnsi="宋体"/>
          <w:bCs/>
          <w:szCs w:val="21"/>
        </w:rPr>
        <w:t>履行适当程序后，则本基金投资不再受相关限制</w:t>
      </w:r>
      <w:r>
        <w:rPr>
          <w:rFonts w:ascii="宋体" w:hAnsi="宋体" w:hint="eastAsia"/>
          <w:bCs/>
          <w:szCs w:val="21"/>
        </w:rPr>
        <w:t>或按调整后的规定执行，但须提前公告</w:t>
      </w:r>
      <w:r>
        <w:rPr>
          <w:rFonts w:ascii="宋体" w:hAnsi="宋体"/>
          <w:bCs/>
          <w:szCs w:val="21"/>
        </w:rPr>
        <w:t>。</w:t>
      </w:r>
    </w:p>
    <w:bookmarkEnd w:id="91"/>
    <w:p w:rsidR="00822B64" w:rsidRDefault="00E92BF7">
      <w:pPr>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禁止行为</w:t>
      </w:r>
    </w:p>
    <w:p w:rsidR="00822B64" w:rsidRDefault="00E92BF7">
      <w:pPr>
        <w:snapToGrid w:val="0"/>
        <w:spacing w:line="360" w:lineRule="auto"/>
        <w:ind w:firstLineChars="200" w:firstLine="420"/>
        <w:rPr>
          <w:rFonts w:ascii="宋体" w:hAnsi="宋体"/>
          <w:bCs/>
          <w:szCs w:val="21"/>
        </w:rPr>
      </w:pPr>
      <w:r>
        <w:rPr>
          <w:rFonts w:ascii="宋体" w:hAnsi="宋体"/>
          <w:bCs/>
          <w:szCs w:val="21"/>
        </w:rPr>
        <w:t>为维护基金份额持有人的合法权益，基金财产不得用于下列投资或者活动：</w:t>
      </w:r>
    </w:p>
    <w:p w:rsidR="00822B64" w:rsidRDefault="00E92BF7">
      <w:pPr>
        <w:snapToGrid w:val="0"/>
        <w:spacing w:line="360" w:lineRule="auto"/>
        <w:ind w:firstLineChars="200" w:firstLine="420"/>
        <w:rPr>
          <w:rFonts w:ascii="宋体" w:hAnsi="宋体"/>
          <w:bCs/>
          <w:szCs w:val="21"/>
        </w:rPr>
      </w:pPr>
      <w:r>
        <w:rPr>
          <w:rFonts w:ascii="宋体" w:hAnsi="宋体"/>
          <w:bCs/>
          <w:szCs w:val="21"/>
        </w:rPr>
        <w:t>（1）承销证券；</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2</w:t>
      </w:r>
      <w:r>
        <w:rPr>
          <w:rFonts w:ascii="宋体" w:hAnsi="宋体"/>
          <w:bCs/>
          <w:szCs w:val="21"/>
        </w:rPr>
        <w:t>）</w:t>
      </w:r>
      <w:r>
        <w:rPr>
          <w:rFonts w:ascii="宋体" w:hAnsi="宋体" w:hint="eastAsia"/>
          <w:bCs/>
          <w:szCs w:val="21"/>
        </w:rPr>
        <w:t>违反规定</w:t>
      </w:r>
      <w:r>
        <w:rPr>
          <w:rFonts w:ascii="宋体" w:hAnsi="宋体"/>
          <w:bCs/>
          <w:szCs w:val="21"/>
        </w:rPr>
        <w:t>向他人贷款或者提供担保；</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3</w:t>
      </w:r>
      <w:r>
        <w:rPr>
          <w:rFonts w:ascii="宋体" w:hAnsi="宋体"/>
          <w:bCs/>
          <w:szCs w:val="21"/>
        </w:rPr>
        <w:t>）从事承担无限责任的投资；</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4</w:t>
      </w:r>
      <w:r>
        <w:rPr>
          <w:rFonts w:ascii="宋体" w:hAnsi="宋体"/>
          <w:bCs/>
          <w:szCs w:val="21"/>
        </w:rPr>
        <w:t>）买卖其他基金份额，但是</w:t>
      </w:r>
      <w:r>
        <w:rPr>
          <w:rFonts w:ascii="宋体" w:hAnsi="宋体" w:hint="eastAsia"/>
          <w:bCs/>
          <w:szCs w:val="21"/>
        </w:rPr>
        <w:t>中国证监会</w:t>
      </w:r>
      <w:r>
        <w:rPr>
          <w:rFonts w:ascii="宋体" w:hAnsi="宋体"/>
          <w:bCs/>
          <w:szCs w:val="21"/>
        </w:rPr>
        <w:t>另有规定的除外；</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5</w:t>
      </w:r>
      <w:r>
        <w:rPr>
          <w:rFonts w:ascii="宋体" w:hAnsi="宋体"/>
          <w:bCs/>
          <w:szCs w:val="21"/>
        </w:rPr>
        <w:t>）向其基金管理人、基金托管人出资；</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6</w:t>
      </w:r>
      <w:r>
        <w:rPr>
          <w:rFonts w:ascii="宋体" w:hAnsi="宋体"/>
          <w:bCs/>
          <w:szCs w:val="21"/>
        </w:rPr>
        <w:t>）从事内幕交易、操纵证券交易价格及其他不正当的证券交易活动；</w:t>
      </w:r>
    </w:p>
    <w:p w:rsidR="00822B64" w:rsidRDefault="00E92BF7">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7</w:t>
      </w:r>
      <w:r>
        <w:rPr>
          <w:rFonts w:ascii="宋体" w:hAnsi="宋体"/>
          <w:bCs/>
          <w:szCs w:val="21"/>
        </w:rPr>
        <w:t>）法律</w:t>
      </w:r>
      <w:r>
        <w:rPr>
          <w:rFonts w:ascii="宋体" w:hAnsi="宋体" w:hint="eastAsia"/>
          <w:bCs/>
          <w:szCs w:val="21"/>
        </w:rPr>
        <w:t>、行政</w:t>
      </w:r>
      <w:r>
        <w:rPr>
          <w:rFonts w:ascii="宋体" w:hAnsi="宋体"/>
          <w:bCs/>
          <w:szCs w:val="21"/>
        </w:rPr>
        <w:t>法规</w:t>
      </w:r>
      <w:r>
        <w:rPr>
          <w:rFonts w:ascii="宋体" w:hAnsi="宋体" w:hint="eastAsia"/>
          <w:bCs/>
          <w:szCs w:val="21"/>
        </w:rPr>
        <w:t>和</w:t>
      </w:r>
      <w:r>
        <w:rPr>
          <w:rFonts w:ascii="宋体" w:hAnsi="宋体"/>
          <w:bCs/>
          <w:szCs w:val="21"/>
        </w:rPr>
        <w:t>中国证监会规定禁止的其他活动</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lastRenderedPageBreak/>
        <w:t>4、法律法规或监管部门取消上述组合限制、禁止行为规定或从事关联交易的条件和要求，本基金可不受相关限制。法律法规或监管部门对上述组合限制、禁止行为规定或从事关联交易的条件和要求进行变更的，本基金可以变更后的规定为准。经与基金托管人协商一致，基金管理人可依据法律法规或监管部门规定直接对基金合同进行变更，该变更无须召开基金份额持有人大会审议。</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hint="eastAsia"/>
          <w:b/>
          <w:bCs/>
          <w:szCs w:val="21"/>
        </w:rPr>
        <w:t>五</w:t>
      </w:r>
      <w:r>
        <w:rPr>
          <w:rFonts w:ascii="宋体" w:hAnsi="宋体"/>
          <w:b/>
          <w:bCs/>
          <w:szCs w:val="21"/>
        </w:rPr>
        <w:t>、业绩比较基准</w:t>
      </w:r>
    </w:p>
    <w:p w:rsidR="00822B64" w:rsidRDefault="00E92BF7">
      <w:pPr>
        <w:snapToGrid w:val="0"/>
        <w:spacing w:line="360" w:lineRule="auto"/>
        <w:ind w:firstLineChars="200" w:firstLine="420"/>
        <w:rPr>
          <w:rFonts w:ascii="宋体" w:cs="宋体"/>
          <w:bCs/>
          <w:kern w:val="0"/>
          <w:szCs w:val="21"/>
        </w:rPr>
      </w:pPr>
      <w:bookmarkStart w:id="93" w:name="_Hlk36209269"/>
      <w:r>
        <w:rPr>
          <w:rFonts w:ascii="宋体" w:cs="宋体" w:hint="eastAsia"/>
          <w:bCs/>
          <w:kern w:val="0"/>
          <w:szCs w:val="21"/>
        </w:rPr>
        <w:t>本基金的业绩比较基准为：封闭期起始日公布的三年期银行定期存款利率（税后）+1.</w:t>
      </w:r>
      <w:r>
        <w:rPr>
          <w:rFonts w:ascii="宋体" w:cs="宋体"/>
          <w:bCs/>
          <w:kern w:val="0"/>
          <w:szCs w:val="21"/>
        </w:rPr>
        <w:t>2</w:t>
      </w:r>
      <w:r>
        <w:rPr>
          <w:rFonts w:ascii="宋体" w:cs="宋体" w:hint="eastAsia"/>
          <w:bCs/>
          <w:kern w:val="0"/>
          <w:szCs w:val="21"/>
        </w:rPr>
        <w:t>5%。</w:t>
      </w:r>
    </w:p>
    <w:p w:rsidR="00822B64" w:rsidRDefault="00E92BF7">
      <w:pPr>
        <w:snapToGrid w:val="0"/>
        <w:spacing w:line="360" w:lineRule="auto"/>
        <w:ind w:firstLineChars="200" w:firstLine="420"/>
        <w:rPr>
          <w:rFonts w:ascii="宋体" w:cs="宋体"/>
          <w:bCs/>
          <w:kern w:val="0"/>
          <w:szCs w:val="21"/>
        </w:rPr>
      </w:pPr>
      <w:r>
        <w:rPr>
          <w:rFonts w:ascii="宋体" w:cs="宋体" w:hint="eastAsia"/>
          <w:bCs/>
          <w:kern w:val="0"/>
          <w:szCs w:val="21"/>
        </w:rPr>
        <w:t>本基金以每个封闭期为周期进行投资运作，每个封闭期为</w:t>
      </w:r>
      <w:r>
        <w:rPr>
          <w:rFonts w:ascii="宋体" w:cs="宋体"/>
          <w:bCs/>
          <w:kern w:val="0"/>
          <w:szCs w:val="21"/>
        </w:rPr>
        <w:t>66</w:t>
      </w:r>
      <w:r>
        <w:rPr>
          <w:rFonts w:ascii="宋体" w:cs="宋体" w:hint="eastAsia"/>
          <w:bCs/>
          <w:kern w:val="0"/>
          <w:szCs w:val="21"/>
        </w:rPr>
        <w:t>个月，期间投资人无法进行基金份额申购与赎回。因此，本基金选择三年期银行定期存款利率加上利差作为本基金的业绩比较基准符合产品特性，能够使本基金投资人理性判断本基金产品的风险收益特征和流动性特征，合理衡量本基金的业绩表现。</w:t>
      </w:r>
    </w:p>
    <w:p w:rsidR="00822B64" w:rsidRDefault="00E92BF7">
      <w:pPr>
        <w:snapToGrid w:val="0"/>
        <w:spacing w:line="360" w:lineRule="auto"/>
        <w:ind w:firstLineChars="200" w:firstLine="420"/>
        <w:rPr>
          <w:rFonts w:ascii="宋体" w:cs="宋体"/>
          <w:bCs/>
          <w:kern w:val="0"/>
          <w:szCs w:val="21"/>
        </w:rPr>
      </w:pPr>
      <w:r>
        <w:rPr>
          <w:rFonts w:ascii="宋体" w:cs="宋体" w:hint="eastAsia"/>
          <w:bCs/>
          <w:kern w:val="0"/>
          <w:szCs w:val="21"/>
        </w:rPr>
        <w:t>三年期银行定期存款利率采用每个封闭期起始日中国人民银行公布的金融机构人民币三年期存款基准利率。</w:t>
      </w:r>
    </w:p>
    <w:p w:rsidR="00822B64" w:rsidRDefault="00E92BF7">
      <w:pPr>
        <w:snapToGrid w:val="0"/>
        <w:spacing w:line="360" w:lineRule="auto"/>
        <w:ind w:firstLineChars="200" w:firstLine="420"/>
        <w:rPr>
          <w:rFonts w:ascii="宋体" w:cs="宋体"/>
          <w:bCs/>
          <w:kern w:val="0"/>
          <w:szCs w:val="21"/>
        </w:rPr>
      </w:pPr>
      <w:r>
        <w:rPr>
          <w:rFonts w:ascii="宋体" w:cs="宋体" w:hint="eastAsia"/>
          <w:bCs/>
          <w:kern w:val="0"/>
          <w:szCs w:val="21"/>
        </w:rPr>
        <w:t>如果今后法律法规发生变化，或者有更权威的、更能为市场普遍接受的业绩比较基准推出时，或者是市场上出现更加适合用于本基金的业绩比较基准时，或者市场发生变化导致本业绩比较基准不再适用或本业绩比较基准停止发布时，基金管理人经与基金托管人协商一致，本基金可以在报中国证监会备案后变更业绩比较基准并及时公告，无需召开基金份额持有人大会。</w:t>
      </w:r>
    </w:p>
    <w:p w:rsidR="00822B64" w:rsidRDefault="00E92BF7">
      <w:pPr>
        <w:snapToGrid w:val="0"/>
        <w:spacing w:line="360" w:lineRule="auto"/>
        <w:ind w:firstLineChars="200" w:firstLine="420"/>
        <w:rPr>
          <w:rFonts w:ascii="宋体" w:cs="宋体"/>
          <w:bCs/>
          <w:kern w:val="0"/>
          <w:szCs w:val="21"/>
        </w:rPr>
      </w:pPr>
      <w:r>
        <w:rPr>
          <w:rFonts w:ascii="宋体" w:cs="宋体" w:hint="eastAsia"/>
          <w:bCs/>
          <w:kern w:val="0"/>
          <w:szCs w:val="21"/>
        </w:rPr>
        <w:t>本基金的业绩比较基准仅作为衡量本基金业绩的参照物，不决定也不必然反映本基金的投资策略。</w:t>
      </w:r>
    </w:p>
    <w:bookmarkEnd w:id="93"/>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hint="eastAsia"/>
          <w:b/>
          <w:bCs/>
          <w:szCs w:val="21"/>
        </w:rPr>
        <w:t>六</w:t>
      </w:r>
      <w:r>
        <w:rPr>
          <w:rFonts w:ascii="宋体" w:hAnsi="宋体"/>
          <w:b/>
          <w:bCs/>
          <w:szCs w:val="21"/>
        </w:rPr>
        <w:t xml:space="preserve">、风险收益特征               </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本基金为债券型基金，预期收益和预期风险高于货币市场基金，但低于混合型基金、股票型基金。</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hint="eastAsia"/>
          <w:b/>
          <w:bCs/>
          <w:szCs w:val="21"/>
        </w:rPr>
        <w:t>七、基金管理人代表基金行使相关权利的处理原则及方法</w:t>
      </w:r>
    </w:p>
    <w:p w:rsidR="00822B64" w:rsidRDefault="00E92BF7">
      <w:pPr>
        <w:snapToGrid w:val="0"/>
        <w:spacing w:line="360" w:lineRule="auto"/>
        <w:ind w:firstLineChars="200" w:firstLine="420"/>
        <w:rPr>
          <w:bCs/>
          <w:szCs w:val="21"/>
        </w:rPr>
      </w:pPr>
      <w:r>
        <w:rPr>
          <w:rFonts w:hint="eastAsia"/>
          <w:bCs/>
          <w:szCs w:val="21"/>
        </w:rPr>
        <w:t>1</w:t>
      </w:r>
      <w:r>
        <w:rPr>
          <w:rFonts w:hint="eastAsia"/>
          <w:bCs/>
          <w:szCs w:val="21"/>
        </w:rPr>
        <w:t>、基金管理人按照国家有关规定代表基金独立行使相关权利，保护基金份额持有人的利益；</w:t>
      </w:r>
    </w:p>
    <w:p w:rsidR="00822B64" w:rsidRDefault="00E92BF7">
      <w:pPr>
        <w:adjustRightInd w:val="0"/>
        <w:snapToGrid w:val="0"/>
        <w:spacing w:line="360" w:lineRule="auto"/>
        <w:ind w:firstLineChars="200" w:firstLine="420"/>
        <w:rPr>
          <w:bCs/>
          <w:szCs w:val="21"/>
        </w:rPr>
      </w:pPr>
      <w:r>
        <w:rPr>
          <w:bCs/>
          <w:szCs w:val="21"/>
        </w:rPr>
        <w:t>2</w:t>
      </w:r>
      <w:r>
        <w:rPr>
          <w:rFonts w:hint="eastAsia"/>
          <w:bCs/>
          <w:szCs w:val="21"/>
        </w:rPr>
        <w:t>、有利于基金财产的安全与增值；</w:t>
      </w:r>
      <w:r>
        <w:rPr>
          <w:rFonts w:hint="eastAsia"/>
          <w:bCs/>
          <w:szCs w:val="21"/>
        </w:rPr>
        <w:t xml:space="preserve"> </w:t>
      </w:r>
    </w:p>
    <w:p w:rsidR="00822B64" w:rsidRDefault="00E92BF7">
      <w:pPr>
        <w:adjustRightInd w:val="0"/>
        <w:snapToGrid w:val="0"/>
        <w:spacing w:line="360" w:lineRule="auto"/>
        <w:ind w:firstLineChars="200" w:firstLine="420"/>
        <w:rPr>
          <w:bCs/>
          <w:szCs w:val="21"/>
        </w:rPr>
      </w:pPr>
      <w:r>
        <w:rPr>
          <w:bCs/>
          <w:szCs w:val="21"/>
        </w:rPr>
        <w:t>3</w:t>
      </w:r>
      <w:r>
        <w:rPr>
          <w:rFonts w:hint="eastAsia"/>
          <w:bCs/>
          <w:szCs w:val="21"/>
        </w:rPr>
        <w:t>、不通过关联交易为自身、雇员、授权代理人或任何存在利害关系的第三人牟取任何不当利益。</w:t>
      </w:r>
    </w:p>
    <w:p w:rsidR="00822B64" w:rsidRDefault="00E92BF7">
      <w:pPr>
        <w:adjustRightInd w:val="0"/>
        <w:snapToGrid w:val="0"/>
        <w:spacing w:line="360" w:lineRule="auto"/>
        <w:ind w:firstLine="210"/>
        <w:rPr>
          <w:rFonts w:ascii="宋体" w:hAnsi="宋体"/>
          <w:b/>
          <w:szCs w:val="21"/>
        </w:rPr>
      </w:pPr>
      <w:r>
        <w:rPr>
          <w:rFonts w:ascii="宋体" w:hAnsi="宋体" w:hint="eastAsia"/>
          <w:b/>
          <w:szCs w:val="21"/>
        </w:rPr>
        <w:t>八、侧袋机制的实施和投资运作安排</w:t>
      </w:r>
    </w:p>
    <w:p w:rsidR="00822B64" w:rsidRDefault="00E92BF7">
      <w:pPr>
        <w:adjustRightInd w:val="0"/>
        <w:snapToGrid w:val="0"/>
        <w:spacing w:line="360" w:lineRule="auto"/>
        <w:ind w:firstLine="210"/>
        <w:rPr>
          <w:rFonts w:ascii="宋体" w:hAnsi="宋体"/>
          <w:bCs/>
          <w:szCs w:val="21"/>
        </w:rPr>
      </w:pPr>
      <w:r>
        <w:rPr>
          <w:rFonts w:ascii="宋体" w:hAnsi="宋体" w:hint="eastAsia"/>
          <w:bCs/>
          <w:szCs w:val="21"/>
        </w:rPr>
        <w:t>当基金持有特定资产且存在或潜在大额赎回申请时，根据最大限度保护基金份额持有人利</w:t>
      </w:r>
      <w:r>
        <w:rPr>
          <w:rFonts w:ascii="宋体" w:hAnsi="宋体" w:hint="eastAsia"/>
          <w:bCs/>
          <w:szCs w:val="21"/>
        </w:rPr>
        <w:lastRenderedPageBreak/>
        <w:t>益的原则，基金管理人经与基金托管人协商一致，并咨询会计师事务所意见后，可以依照法律法规及基金合同的约定启用侧袋机制。</w:t>
      </w:r>
    </w:p>
    <w:p w:rsidR="00822B64" w:rsidRDefault="00E92BF7">
      <w:pPr>
        <w:adjustRightInd w:val="0"/>
        <w:snapToGrid w:val="0"/>
        <w:spacing w:line="360" w:lineRule="auto"/>
        <w:ind w:firstLine="210"/>
        <w:rPr>
          <w:rFonts w:ascii="宋体" w:hAnsi="宋体"/>
          <w:bCs/>
          <w:szCs w:val="21"/>
        </w:rPr>
      </w:pPr>
      <w:r>
        <w:rPr>
          <w:rFonts w:ascii="宋体" w:hAnsi="宋体" w:hint="eastAsia"/>
          <w:bCs/>
          <w:szCs w:val="21"/>
        </w:rPr>
        <w:t>侧袋机制实施期间，本部分约定的投资组合比例、投资策略、组合限制、业绩比较基准、风险收益特征等约定仅适用于主袋账户。</w:t>
      </w:r>
    </w:p>
    <w:p w:rsidR="00822B64" w:rsidRDefault="00E92BF7">
      <w:pPr>
        <w:adjustRightInd w:val="0"/>
        <w:snapToGrid w:val="0"/>
        <w:spacing w:line="360" w:lineRule="auto"/>
        <w:ind w:firstLine="210"/>
        <w:rPr>
          <w:rFonts w:ascii="宋体" w:hAnsi="宋体"/>
          <w:bCs/>
          <w:szCs w:val="21"/>
        </w:rPr>
      </w:pPr>
      <w:r>
        <w:rPr>
          <w:rFonts w:ascii="宋体" w:hAnsi="宋体" w:hint="eastAsia"/>
          <w:bCs/>
          <w:szCs w:val="21"/>
        </w:rPr>
        <w:t>侧袋账户的实施条件、实施程序、运作安排、投资安排、特定资产的处置变现和支付等对投资者权益有重大影响的事项详见招募说明书“侧袋机制”部分的规定。</w:t>
      </w:r>
    </w:p>
    <w:p w:rsidR="00822B64" w:rsidRDefault="00E92BF7">
      <w:pPr>
        <w:adjustRightInd w:val="0"/>
        <w:snapToGrid w:val="0"/>
        <w:spacing w:line="360" w:lineRule="auto"/>
        <w:ind w:firstLine="210"/>
        <w:rPr>
          <w:rFonts w:ascii="宋体" w:hAnsi="宋体"/>
          <w:b/>
          <w:szCs w:val="21"/>
        </w:rPr>
      </w:pPr>
      <w:r>
        <w:rPr>
          <w:rFonts w:ascii="宋体" w:hAnsi="宋体" w:hint="eastAsia"/>
          <w:b/>
          <w:szCs w:val="21"/>
        </w:rPr>
        <w:t>九、基金投资组合报告</w:t>
      </w:r>
    </w:p>
    <w:p w:rsidR="00822B64" w:rsidRDefault="00E92BF7">
      <w:pPr>
        <w:adjustRightInd w:val="0"/>
        <w:snapToGrid w:val="0"/>
        <w:spacing w:line="360" w:lineRule="auto"/>
        <w:ind w:firstLine="210"/>
        <w:rPr>
          <w:rFonts w:ascii="宋体" w:hAnsi="宋体"/>
          <w:bCs/>
          <w:szCs w:val="21"/>
        </w:rPr>
      </w:pPr>
      <w:r>
        <w:rPr>
          <w:rFonts w:ascii="宋体" w:hAnsi="宋体" w:hint="eastAsia"/>
          <w:bCs/>
          <w:szCs w:val="21"/>
        </w:rPr>
        <w:t>基金管理人的董事会及董事保证本报告所载资料不存在虚假记载、误导性陈述或重大遗漏，并对其内容的真实性、准确性和完整性承担个别及连带责任。</w:t>
      </w:r>
    </w:p>
    <w:p w:rsidR="00822B64" w:rsidRDefault="00E92BF7">
      <w:pPr>
        <w:adjustRightInd w:val="0"/>
        <w:snapToGrid w:val="0"/>
        <w:spacing w:line="360" w:lineRule="auto"/>
        <w:ind w:firstLine="210"/>
        <w:rPr>
          <w:rFonts w:ascii="宋体" w:hAnsi="宋体"/>
          <w:bCs/>
          <w:szCs w:val="21"/>
        </w:rPr>
      </w:pPr>
      <w:r>
        <w:rPr>
          <w:rFonts w:ascii="宋体" w:hAnsi="宋体" w:hint="eastAsia"/>
          <w:bCs/>
          <w:szCs w:val="21"/>
        </w:rPr>
        <w:t>基金托管人交通银行股份有限公司根据本基金合同规定，复核了本报告中的财务指标、净值表现和投资组合报告等内容，保证复核内容不存在虚假记载、误导性陈述或者重大遗漏。</w:t>
      </w:r>
    </w:p>
    <w:p w:rsidR="00822B64" w:rsidRDefault="00E92BF7">
      <w:pPr>
        <w:adjustRightInd w:val="0"/>
        <w:snapToGrid w:val="0"/>
        <w:spacing w:line="360" w:lineRule="auto"/>
        <w:ind w:firstLine="210"/>
        <w:rPr>
          <w:rFonts w:ascii="宋体" w:hAnsi="宋体" w:cs="宋体"/>
          <w:bCs/>
          <w:szCs w:val="21"/>
        </w:rPr>
      </w:pPr>
      <w:r>
        <w:rPr>
          <w:rFonts w:ascii="宋体" w:hAnsi="宋体" w:cs="宋体" w:hint="eastAsia"/>
          <w:bCs/>
          <w:szCs w:val="21"/>
        </w:rPr>
        <w:t>本报告中财务资料未经审计，本投资组合报告所载数据截至202</w:t>
      </w:r>
      <w:r w:rsidR="00EE2B98">
        <w:rPr>
          <w:rFonts w:ascii="宋体" w:hAnsi="宋体" w:cs="宋体"/>
          <w:bCs/>
          <w:szCs w:val="21"/>
        </w:rPr>
        <w:t>2</w:t>
      </w:r>
      <w:r>
        <w:rPr>
          <w:rFonts w:ascii="宋体" w:hAnsi="宋体" w:cs="宋体" w:hint="eastAsia"/>
          <w:bCs/>
          <w:szCs w:val="21"/>
        </w:rPr>
        <w:t>年12月31日。</w:t>
      </w: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bookmarkStart w:id="94" w:name="_Toc17898196"/>
      <w:bookmarkStart w:id="95" w:name="_Toc17897950"/>
      <w:bookmarkStart w:id="96" w:name="_Toc481075065"/>
      <w:bookmarkStart w:id="97" w:name="_Toc438646467"/>
      <w:bookmarkStart w:id="98" w:name="_Toc490050018"/>
      <w:bookmarkStart w:id="99" w:name="_Toc512519497"/>
      <w:bookmarkStart w:id="100" w:name="_Toc513295859"/>
      <w:bookmarkStart w:id="101" w:name="_Toc513295909"/>
      <w:bookmarkStart w:id="102" w:name="m501"/>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afffb"/>
        <w:numPr>
          <w:ilvl w:val="0"/>
          <w:numId w:val="32"/>
        </w:numPr>
        <w:spacing w:beforeLines="50" w:before="156" w:line="360" w:lineRule="auto"/>
        <w:ind w:firstLineChars="0"/>
        <w:jc w:val="center"/>
        <w:outlineLvl w:val="0"/>
        <w:rPr>
          <w:rFonts w:ascii="Cambria" w:hAnsi="宋体"/>
          <w:b/>
          <w:bCs/>
          <w:vanish/>
          <w:kern w:val="44"/>
          <w:sz w:val="28"/>
          <w:szCs w:val="44"/>
        </w:rPr>
      </w:pPr>
    </w:p>
    <w:p w:rsidR="00EE2B98" w:rsidRPr="00EE2B98" w:rsidRDefault="00EE2B98" w:rsidP="00EE2B98">
      <w:pPr>
        <w:pStyle w:val="XBRLTitle2"/>
        <w:keepNext w:val="0"/>
        <w:keepLines w:val="0"/>
        <w:numPr>
          <w:ilvl w:val="1"/>
          <w:numId w:val="32"/>
        </w:numPr>
        <w:tabs>
          <w:tab w:val="clear" w:pos="432"/>
        </w:tabs>
        <w:spacing w:before="156" w:afterLines="0" w:after="0" w:line="360" w:lineRule="auto"/>
        <w:rPr>
          <w:rFonts w:hAnsi="宋体"/>
        </w:rPr>
      </w:pPr>
      <w:r w:rsidRPr="00EE2B98">
        <w:rPr>
          <w:rFonts w:hAnsi="宋体" w:hint="eastAsia"/>
        </w:rPr>
        <w:t>报告期末基金资产组合情况</w:t>
      </w:r>
      <w:bookmarkEnd w:id="94"/>
      <w:bookmarkEnd w:id="95"/>
      <w:bookmarkEnd w:id="96"/>
      <w:bookmarkEnd w:id="97"/>
      <w:bookmarkEnd w:id="98"/>
      <w:bookmarkEnd w:id="99"/>
      <w:bookmarkEnd w:id="100"/>
      <w:bookmarkEnd w:id="101"/>
      <w:r w:rsidRPr="00EE2B98">
        <w:rPr>
          <w:rFonts w:hAnsi="宋体" w:hint="eastAsia"/>
        </w:rPr>
        <w:t xml:space="preserve"> </w:t>
      </w:r>
    </w:p>
    <w:tbl>
      <w:tblPr>
        <w:tblW w:w="5000" w:type="pct"/>
        <w:tblCellMar>
          <w:left w:w="0" w:type="dxa"/>
          <w:right w:w="0" w:type="dxa"/>
        </w:tblCellMar>
        <w:tblLook w:val="04A0" w:firstRow="1" w:lastRow="0" w:firstColumn="1" w:lastColumn="0" w:noHBand="0" w:noVBand="1"/>
      </w:tblPr>
      <w:tblGrid>
        <w:gridCol w:w="580"/>
        <w:gridCol w:w="3284"/>
        <w:gridCol w:w="2220"/>
        <w:gridCol w:w="2212"/>
      </w:tblGrid>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lang w:eastAsia="zh-Hans"/>
              </w:rPr>
            </w:pPr>
            <w:bookmarkStart w:id="103" w:name="m08QD_01_tab"/>
            <w:bookmarkEnd w:id="103"/>
            <w:r>
              <w:rPr>
                <w:rFonts w:ascii="宋体" w:hAnsi="宋体" w:hint="eastAsia"/>
                <w:color w:val="000000"/>
              </w:rPr>
              <w:t>序号</w:t>
            </w: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lang w:eastAsia="zh-Hans"/>
              </w:rPr>
            </w:pPr>
            <w:r>
              <w:rPr>
                <w:rFonts w:ascii="宋体" w:hAnsi="宋体" w:hint="eastAsia"/>
                <w:color w:val="000000"/>
              </w:rPr>
              <w:t>项目</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lang w:eastAsia="zh-Hans"/>
              </w:rPr>
            </w:pPr>
            <w:r>
              <w:rPr>
                <w:rFonts w:ascii="宋体" w:hAnsi="宋体" w:hint="eastAsia"/>
                <w:color w:val="000000"/>
              </w:rPr>
              <w:t>金额（元）</w:t>
            </w:r>
            <w:r>
              <w:rPr>
                <w:rFonts w:ascii="宋体" w:hAnsi="宋体" w:hint="eastAsia"/>
                <w:color w:val="000000"/>
                <w:lang w:eastAsia="zh-Hans"/>
              </w:rPr>
              <w:t xml:space="preserve"> </w:t>
            </w:r>
          </w:p>
        </w:tc>
        <w:tc>
          <w:tcPr>
            <w:tcW w:w="1333" w:type="pct"/>
            <w:tcBorders>
              <w:top w:val="single" w:sz="4" w:space="0" w:color="auto"/>
              <w:left w:val="nil"/>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lang w:eastAsia="zh-Hans"/>
              </w:rPr>
            </w:pPr>
            <w:r>
              <w:rPr>
                <w:rFonts w:ascii="宋体" w:hAnsi="宋体" w:hint="eastAsia"/>
                <w:color w:val="000000"/>
              </w:rPr>
              <w:t>占基金总资产的比例（</w:t>
            </w:r>
            <w:r>
              <w:rPr>
                <w:rFonts w:ascii="宋体" w:hAnsi="宋体" w:hint="eastAsia"/>
                <w:color w:val="000000"/>
                <w:lang w:eastAsia="zh-Hans"/>
              </w:rPr>
              <w:t>%</w:t>
            </w:r>
            <w:r>
              <w:rPr>
                <w:rFonts w:ascii="宋体" w:hAnsi="宋体" w:hint="eastAsia"/>
                <w:color w:val="000000"/>
              </w:rPr>
              <w:t>）</w:t>
            </w:r>
            <w:r>
              <w:rPr>
                <w:rFonts w:ascii="宋体" w:hAnsi="宋体" w:hint="eastAsia"/>
                <w:color w:val="000000"/>
                <w:lang w:eastAsia="zh-Hans"/>
              </w:rPr>
              <w:t xml:space="preserve"> </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1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权益投资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其中：股票</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pPr>
            <w:r>
              <w:rPr>
                <w:rFonts w:ascii="宋体" w:hAnsi="宋体" w:hint="eastAsia"/>
                <w:color w:val="000000"/>
                <w:lang w:eastAsia="zh-Hans"/>
              </w:rPr>
              <w:t>2</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基金投资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rPr>
            </w:pPr>
            <w:r>
              <w:rPr>
                <w:rFonts w:ascii="宋体" w:hAnsi="宋体" w:hint="eastAsia"/>
                <w:color w:val="000000"/>
                <w:lang w:eastAsia="zh-Hans"/>
              </w:rPr>
              <w:t>3</w:t>
            </w:r>
            <w:r>
              <w:rPr>
                <w:rFonts w:ascii="宋体" w:hAnsi="宋体" w:hint="eastAsia"/>
                <w:color w:val="000000"/>
              </w:rPr>
              <w:t xml:space="preserve">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固定收益投资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12,435,242,436.07</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99.92</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其中：债券</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12,435,242,436.07</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99.92</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lang w:eastAsia="zh-Hans"/>
              </w:rPr>
              <w:t xml:space="preserve">      </w:t>
            </w:r>
            <w:r>
              <w:rPr>
                <w:rFonts w:ascii="宋体" w:hAnsi="宋体" w:hint="eastAsia"/>
                <w:color w:val="000000"/>
              </w:rPr>
              <w:t>资产支持证券</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4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贵金属投资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5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金融衍生品投资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6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买入返售金融资产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其中：买断式回购的买入返售金融资产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lang w:eastAsia="zh-Hans"/>
              </w:rPr>
            </w:pPr>
            <w:r>
              <w:rPr>
                <w:rFonts w:ascii="宋体" w:hAnsi="宋体" w:hint="eastAsia"/>
                <w:color w:val="000000"/>
                <w:lang w:eastAsia="zh-Hans"/>
              </w:rPr>
              <w:t xml:space="preserve">7 </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银行存款和结算备付金合计</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9,580,396.59</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0.08</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pPr>
            <w:r>
              <w:rPr>
                <w:rFonts w:ascii="宋体" w:hAnsi="宋体" w:hint="eastAsia"/>
                <w:color w:val="000000"/>
                <w:lang w:eastAsia="zh-Hans"/>
              </w:rPr>
              <w:t>8</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其他资产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20"/>
        </w:trPr>
        <w:tc>
          <w:tcPr>
            <w:tcW w:w="35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pPr>
            <w:r>
              <w:rPr>
                <w:rFonts w:ascii="宋体" w:hAnsi="宋体" w:hint="eastAsia"/>
                <w:color w:val="000000"/>
                <w:lang w:eastAsia="zh-Hans"/>
              </w:rPr>
              <w:t>9</w:t>
            </w:r>
          </w:p>
        </w:tc>
        <w:tc>
          <w:tcPr>
            <w:tcW w:w="1979" w:type="pct"/>
            <w:tcBorders>
              <w:top w:val="single" w:sz="4" w:space="0" w:color="auto"/>
              <w:left w:val="nil"/>
              <w:bottom w:val="single" w:sz="4" w:space="0" w:color="auto"/>
              <w:right w:val="single" w:sz="4" w:space="0" w:color="auto"/>
            </w:tcBorders>
            <w:vAlign w:val="center"/>
          </w:tcPr>
          <w:p w:rsidR="00EE2B98" w:rsidRDefault="00EE2B98" w:rsidP="00E92BF7">
            <w:pPr>
              <w:ind w:leftChars="50" w:left="105"/>
              <w:rPr>
                <w:rFonts w:ascii="宋体" w:hAnsi="宋体"/>
                <w:color w:val="000000"/>
                <w:lang w:eastAsia="zh-Hans"/>
              </w:rPr>
            </w:pPr>
            <w:r>
              <w:rPr>
                <w:rFonts w:ascii="宋体" w:hAnsi="宋体" w:hint="eastAsia"/>
                <w:color w:val="000000"/>
              </w:rPr>
              <w:t>合计</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12,444,822,832.66</w:t>
            </w:r>
          </w:p>
        </w:tc>
        <w:tc>
          <w:tcPr>
            <w:tcW w:w="1333" w:type="pct"/>
            <w:tcBorders>
              <w:top w:val="single" w:sz="4" w:space="0" w:color="auto"/>
              <w:left w:val="nil"/>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100.00</w:t>
            </w:r>
          </w:p>
        </w:tc>
      </w:tr>
    </w:tbl>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04" w:name="_Toc17898197"/>
      <w:bookmarkStart w:id="105" w:name="_Toc17897951"/>
      <w:bookmarkStart w:id="106" w:name="_Toc512519498"/>
      <w:bookmarkStart w:id="107" w:name="_Toc481075066"/>
      <w:bookmarkStart w:id="108" w:name="_Toc438646468"/>
      <w:bookmarkStart w:id="109" w:name="_Toc490050019"/>
      <w:bookmarkStart w:id="110" w:name="_Toc513295860"/>
      <w:bookmarkStart w:id="111" w:name="_Toc513295910"/>
      <w:bookmarkEnd w:id="102"/>
      <w:r>
        <w:rPr>
          <w:rFonts w:hAnsi="宋体" w:hint="eastAsia"/>
        </w:rPr>
        <w:t>报告期末按行业分类的股票投资组合</w:t>
      </w:r>
      <w:bookmarkEnd w:id="104"/>
      <w:bookmarkEnd w:id="105"/>
      <w:bookmarkEnd w:id="106"/>
      <w:bookmarkEnd w:id="107"/>
      <w:bookmarkEnd w:id="108"/>
      <w:bookmarkEnd w:id="109"/>
      <w:bookmarkEnd w:id="110"/>
      <w:bookmarkEnd w:id="111"/>
      <w:r>
        <w:rPr>
          <w:rFonts w:hAnsi="宋体" w:hint="eastAsia"/>
        </w:rPr>
        <w:t xml:space="preserve"> </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112" w:name="_Toc17898198"/>
      <w:bookmarkStart w:id="113" w:name="_Toc481075067"/>
      <w:bookmarkStart w:id="114" w:name="_Toc490050020"/>
      <w:bookmarkStart w:id="115" w:name="_Toc512519499"/>
      <w:bookmarkStart w:id="116" w:name="_Toc513295911"/>
      <w:r>
        <w:rPr>
          <w:rFonts w:hint="eastAsia"/>
        </w:rPr>
        <w:t>报告期末按行业分类的境内股票投资组合</w:t>
      </w:r>
      <w:bookmarkEnd w:id="112"/>
      <w:bookmarkEnd w:id="113"/>
      <w:bookmarkEnd w:id="114"/>
      <w:bookmarkEnd w:id="115"/>
      <w:bookmarkEnd w:id="116"/>
      <w:r>
        <w:rPr>
          <w:rFonts w:hint="eastAsia"/>
        </w:rPr>
        <w:t xml:space="preserve"> </w:t>
      </w:r>
    </w:p>
    <w:p w:rsidR="00EE2B98" w:rsidRDefault="00EE2B98" w:rsidP="00EE2B98">
      <w:pPr>
        <w:spacing w:line="360" w:lineRule="auto"/>
        <w:ind w:firstLineChars="200" w:firstLine="420"/>
      </w:pPr>
      <w:r>
        <w:rPr>
          <w:rFonts w:ascii="宋体" w:hAnsi="宋体" w:hint="eastAsia"/>
          <w:lang w:eastAsia="zh-Hans"/>
        </w:rPr>
        <w:t>本基金本报告期末未持有境内股票。</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rPr>
          <w:szCs w:val="24"/>
        </w:rPr>
      </w:pPr>
      <w:bookmarkStart w:id="117" w:name="m502_tab"/>
      <w:bookmarkStart w:id="118" w:name="_Toc17898199"/>
      <w:bookmarkStart w:id="119" w:name="_Toc481075068"/>
      <w:bookmarkStart w:id="120" w:name="_Toc490050021"/>
      <w:bookmarkStart w:id="121" w:name="_Toc512519500"/>
      <w:bookmarkStart w:id="122" w:name="_Toc513295912"/>
      <w:bookmarkEnd w:id="117"/>
      <w:r>
        <w:rPr>
          <w:rFonts w:hint="eastAsia"/>
        </w:rPr>
        <w:t>报告期末按行业分类的港股通投资股票投资组合</w:t>
      </w:r>
      <w:bookmarkEnd w:id="118"/>
      <w:bookmarkEnd w:id="119"/>
      <w:bookmarkEnd w:id="120"/>
      <w:bookmarkEnd w:id="121"/>
      <w:bookmarkEnd w:id="122"/>
      <w:r>
        <w:rPr>
          <w:rFonts w:hint="eastAsia"/>
          <w:szCs w:val="24"/>
        </w:rPr>
        <w:t xml:space="preserve"> </w:t>
      </w:r>
    </w:p>
    <w:p w:rsidR="00EE2B98" w:rsidRDefault="00EE2B98" w:rsidP="00EE2B98">
      <w:pPr>
        <w:spacing w:line="360" w:lineRule="auto"/>
        <w:ind w:firstLineChars="200" w:firstLine="420"/>
      </w:pPr>
      <w:r>
        <w:rPr>
          <w:rFonts w:ascii="宋体" w:hAnsi="宋体" w:hint="eastAsia"/>
          <w:szCs w:val="21"/>
          <w:lang w:eastAsia="zh-Hans"/>
        </w:rPr>
        <w:t>本基金本报告期末未持有港股通投资组合。</w:t>
      </w:r>
    </w:p>
    <w:p w:rsidR="00EE2B98" w:rsidRDefault="00EE2B98" w:rsidP="00EE2B98">
      <w:pPr>
        <w:pStyle w:val="XBRLTitle2"/>
        <w:keepNext w:val="0"/>
        <w:keepLines w:val="0"/>
        <w:numPr>
          <w:ilvl w:val="1"/>
          <w:numId w:val="32"/>
        </w:numPr>
        <w:tabs>
          <w:tab w:val="clear" w:pos="432"/>
          <w:tab w:val="clear" w:pos="1427"/>
        </w:tabs>
        <w:spacing w:before="156" w:afterLines="0" w:after="0"/>
      </w:pPr>
      <w:bookmarkStart w:id="123" w:name="_Toc178982961"/>
      <w:bookmarkStart w:id="124" w:name="_Toc17897958"/>
      <w:bookmarkStart w:id="125" w:name="_Toc485300375"/>
      <w:bookmarkStart w:id="126" w:name="_Toc453852755"/>
      <w:bookmarkStart w:id="127" w:name="_Toc452398761"/>
      <w:bookmarkStart w:id="128" w:name="_Toc454983410"/>
      <w:bookmarkStart w:id="129" w:name="_Toc497398255"/>
      <w:bookmarkStart w:id="130" w:name="_Toc506208451"/>
      <w:bookmarkStart w:id="131" w:name="m08QD_10"/>
      <w:r>
        <w:rPr>
          <w:rFonts w:hint="eastAsia"/>
        </w:rPr>
        <w:lastRenderedPageBreak/>
        <w:t>期末按公允价值占基金资产净值比例大小排序的股票投资明细</w:t>
      </w:r>
      <w:bookmarkEnd w:id="123"/>
      <w:bookmarkEnd w:id="124"/>
      <w:bookmarkEnd w:id="125"/>
      <w:bookmarkEnd w:id="126"/>
      <w:bookmarkEnd w:id="127"/>
      <w:bookmarkEnd w:id="128"/>
      <w:bookmarkEnd w:id="129"/>
      <w:bookmarkEnd w:id="130"/>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132" w:name="_Toc454983411"/>
      <w:bookmarkStart w:id="133" w:name="_Toc178982962"/>
      <w:bookmarkStart w:id="134" w:name="_Toc485300376"/>
      <w:bookmarkStart w:id="135" w:name="_Toc497398256"/>
      <w:bookmarkStart w:id="136" w:name="_Toc453852756"/>
      <w:r>
        <w:rPr>
          <w:rFonts w:hAnsi="宋体" w:hint="eastAsia"/>
        </w:rPr>
        <w:t>报告期末按公允价值占基金资产净值比例大小排序的前十名股票投资明细</w:t>
      </w:r>
      <w:bookmarkEnd w:id="131"/>
      <w:bookmarkEnd w:id="132"/>
      <w:bookmarkEnd w:id="133"/>
      <w:bookmarkEnd w:id="134"/>
      <w:bookmarkEnd w:id="135"/>
      <w:bookmarkEnd w:id="136"/>
    </w:p>
    <w:p w:rsidR="00EE2B98" w:rsidRDefault="00EE2B98" w:rsidP="00EE2B98">
      <w:pPr>
        <w:spacing w:line="360" w:lineRule="auto"/>
        <w:ind w:firstLineChars="200" w:firstLine="420"/>
        <w:jc w:val="left"/>
      </w:pPr>
      <w:r>
        <w:rPr>
          <w:rFonts w:ascii="宋体" w:hAnsi="宋体" w:hint="eastAsia"/>
          <w:color w:val="000000"/>
          <w:lang w:eastAsia="zh-Hans"/>
        </w:rPr>
        <w:t>本基金本报告期末未持有境内股票。</w:t>
      </w:r>
    </w:p>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37" w:name="_Toc17898201"/>
      <w:bookmarkStart w:id="138" w:name="_Toc17897953"/>
      <w:bookmarkStart w:id="139" w:name="_Toc481075070"/>
      <w:bookmarkStart w:id="140" w:name="_Toc438646471"/>
      <w:bookmarkStart w:id="141" w:name="_Toc490050023"/>
      <w:bookmarkStart w:id="142" w:name="_Toc512519502"/>
      <w:bookmarkStart w:id="143" w:name="_Toc513295862"/>
      <w:bookmarkStart w:id="144" w:name="_Toc513295914"/>
      <w:bookmarkStart w:id="145" w:name="m505"/>
      <w:r>
        <w:rPr>
          <w:rFonts w:hAnsi="宋体" w:hint="eastAsia"/>
        </w:rPr>
        <w:t>报告期末按债券品种分类的债券投资组合</w:t>
      </w:r>
      <w:bookmarkEnd w:id="137"/>
      <w:bookmarkEnd w:id="138"/>
      <w:bookmarkEnd w:id="139"/>
      <w:bookmarkEnd w:id="140"/>
      <w:bookmarkEnd w:id="141"/>
      <w:bookmarkEnd w:id="142"/>
      <w:bookmarkEnd w:id="143"/>
      <w:bookmarkEnd w:id="144"/>
      <w:r>
        <w:rPr>
          <w:rFonts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874"/>
        <w:gridCol w:w="2107"/>
        <w:gridCol w:w="2109"/>
        <w:gridCol w:w="3206"/>
      </w:tblGrid>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序号 </w:t>
            </w:r>
          </w:p>
        </w:tc>
        <w:tc>
          <w:tcPr>
            <w:tcW w:w="1270"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债券品种 </w:t>
            </w:r>
          </w:p>
        </w:tc>
        <w:tc>
          <w:tcPr>
            <w:tcW w:w="1271"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公允价值（元） </w:t>
            </w:r>
          </w:p>
        </w:tc>
        <w:tc>
          <w:tcPr>
            <w:tcW w:w="1932"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占基金资产净值比例（%） </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1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国家债券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2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央行票据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3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金融债券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12,435,242,436.07</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163.62</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其中：政策性金融债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12,435,242,436.07</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163.62</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4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企业债券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5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企业短期融资券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rPr>
            </w:pPr>
            <w:r>
              <w:rPr>
                <w:rFonts w:ascii="宋体" w:hAnsi="宋体" w:hint="eastAsia"/>
              </w:rPr>
              <w:t xml:space="preserve">6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rPr>
            </w:pPr>
            <w:r>
              <w:rPr>
                <w:rFonts w:ascii="宋体" w:hAnsi="宋体" w:hint="eastAsia"/>
              </w:rPr>
              <w:t xml:space="preserve">中期票据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rPr>
            </w:pPr>
            <w:r>
              <w:rPr>
                <w:rFonts w:ascii="宋体" w:hAnsi="宋体" w:hint="eastAsia"/>
                <w:color w:val="000000"/>
              </w:rPr>
              <w:t xml:space="preserve">7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color w:val="000000"/>
              </w:rPr>
            </w:pPr>
            <w:r>
              <w:rPr>
                <w:rFonts w:ascii="宋体" w:hAnsi="宋体" w:hint="eastAsia"/>
                <w:color w:val="000000"/>
              </w:rPr>
              <w:t xml:space="preserve">可转债（可交换债）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rPr>
                <w:rFonts w:ascii="宋体" w:hAnsi="宋体"/>
                <w:color w:val="000000"/>
              </w:rPr>
            </w:pPr>
            <w:r>
              <w:rPr>
                <w:rFonts w:ascii="宋体" w:hAnsi="宋体" w:hint="eastAsia"/>
                <w:color w:val="000000"/>
              </w:rPr>
              <w:t xml:space="preserve">8 </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color w:val="000000"/>
              </w:rPr>
            </w:pPr>
            <w:r>
              <w:rPr>
                <w:rFonts w:ascii="宋体" w:hAnsi="宋体" w:hint="eastAsia"/>
                <w:color w:val="000000"/>
              </w:rPr>
              <w:t xml:space="preserve">同业存单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pPr>
            <w:r>
              <w:rPr>
                <w:rFonts w:ascii="宋体" w:hAnsi="宋体" w:hint="eastAsia"/>
                <w:color w:val="000000"/>
              </w:rPr>
              <w:t>9</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color w:val="000000"/>
              </w:rPr>
            </w:pPr>
            <w:r>
              <w:rPr>
                <w:rFonts w:ascii="宋体" w:hAnsi="宋体" w:hint="eastAsia"/>
                <w:color w:val="000000"/>
              </w:rPr>
              <w:t xml:space="preserve">其他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w:t>
            </w:r>
          </w:p>
        </w:tc>
      </w:tr>
      <w:tr w:rsidR="00EE2B98" w:rsidTr="00E92BF7">
        <w:trPr>
          <w:trHeight w:val="315"/>
        </w:trPr>
        <w:tc>
          <w:tcPr>
            <w:tcW w:w="527"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center"/>
            </w:pPr>
            <w:r>
              <w:rPr>
                <w:rFonts w:ascii="宋体" w:hAnsi="宋体" w:hint="eastAsia"/>
                <w:color w:val="000000"/>
              </w:rPr>
              <w:t>10</w:t>
            </w:r>
          </w:p>
        </w:tc>
        <w:tc>
          <w:tcPr>
            <w:tcW w:w="1270"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ind w:leftChars="50" w:left="105"/>
              <w:jc w:val="left"/>
              <w:rPr>
                <w:rFonts w:ascii="宋体" w:hAnsi="宋体"/>
                <w:color w:val="000000"/>
              </w:rPr>
            </w:pPr>
            <w:r>
              <w:rPr>
                <w:rFonts w:ascii="宋体" w:hAnsi="宋体" w:hint="eastAsia"/>
                <w:color w:val="000000"/>
              </w:rPr>
              <w:t xml:space="preserve">合计 </w:t>
            </w:r>
          </w:p>
        </w:tc>
        <w:tc>
          <w:tcPr>
            <w:tcW w:w="1271"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12,435,242,436.07</w:t>
            </w:r>
          </w:p>
        </w:tc>
        <w:tc>
          <w:tcPr>
            <w:tcW w:w="1932" w:type="pct"/>
            <w:tcBorders>
              <w:top w:val="single" w:sz="4" w:space="0" w:color="auto"/>
              <w:left w:val="single" w:sz="4" w:space="0" w:color="auto"/>
              <w:bottom w:val="single" w:sz="4" w:space="0" w:color="auto"/>
              <w:right w:val="single" w:sz="4" w:space="0" w:color="auto"/>
            </w:tcBorders>
            <w:vAlign w:val="center"/>
          </w:tcPr>
          <w:p w:rsidR="00EE2B98" w:rsidRDefault="00EE2B98" w:rsidP="00E92BF7">
            <w:pPr>
              <w:jc w:val="right"/>
            </w:pPr>
            <w:r>
              <w:rPr>
                <w:rFonts w:ascii="宋体" w:hAnsi="宋体" w:hint="eastAsia"/>
                <w:lang w:eastAsia="zh-Hans"/>
              </w:rPr>
              <w:t>163.62</w:t>
            </w:r>
          </w:p>
        </w:tc>
      </w:tr>
    </w:tbl>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46" w:name="_Toc17898202"/>
      <w:bookmarkStart w:id="147" w:name="_Toc17897954"/>
      <w:bookmarkStart w:id="148" w:name="_Toc481075071"/>
      <w:bookmarkStart w:id="149" w:name="_Toc438646472"/>
      <w:bookmarkStart w:id="150" w:name="_Toc490050024"/>
      <w:bookmarkStart w:id="151" w:name="_Toc512519503"/>
      <w:bookmarkStart w:id="152" w:name="_Toc513295863"/>
      <w:bookmarkStart w:id="153" w:name="_Toc513295915"/>
      <w:bookmarkStart w:id="154" w:name="m506"/>
      <w:bookmarkEnd w:id="145"/>
      <w:r>
        <w:rPr>
          <w:rFonts w:hAnsi="宋体" w:hint="eastAsia"/>
        </w:rPr>
        <w:t>报告期末按公允价值占基金资产净值比例大小排序的前五名债券投资明细</w:t>
      </w:r>
      <w:bookmarkEnd w:id="146"/>
      <w:bookmarkEnd w:id="147"/>
      <w:bookmarkEnd w:id="148"/>
      <w:bookmarkEnd w:id="149"/>
      <w:bookmarkEnd w:id="150"/>
      <w:bookmarkEnd w:id="151"/>
      <w:bookmarkEnd w:id="152"/>
      <w:bookmarkEnd w:id="153"/>
      <w:r>
        <w:rPr>
          <w:rFonts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31"/>
        <w:gridCol w:w="967"/>
        <w:gridCol w:w="1430"/>
        <w:gridCol w:w="1110"/>
        <w:gridCol w:w="1712"/>
        <w:gridCol w:w="2346"/>
      </w:tblGrid>
      <w:tr w:rsidR="00EE2B98" w:rsidTr="00E92BF7">
        <w:trPr>
          <w:trHeight w:val="315"/>
        </w:trPr>
        <w:tc>
          <w:tcPr>
            <w:tcW w:w="440"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序号 </w:t>
            </w:r>
          </w:p>
        </w:tc>
        <w:tc>
          <w:tcPr>
            <w:tcW w:w="583"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债券代码 </w:t>
            </w:r>
          </w:p>
        </w:tc>
        <w:tc>
          <w:tcPr>
            <w:tcW w:w="862"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债券名称 </w:t>
            </w:r>
          </w:p>
        </w:tc>
        <w:tc>
          <w:tcPr>
            <w:tcW w:w="669"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pPr>
            <w:r>
              <w:rPr>
                <w:rFonts w:ascii="宋体" w:hAnsi="宋体" w:hint="eastAsia"/>
                <w:color w:val="000000"/>
              </w:rPr>
              <w:t>数量（张）</w:t>
            </w:r>
          </w:p>
        </w:tc>
        <w:tc>
          <w:tcPr>
            <w:tcW w:w="1032"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pPr>
            <w:r>
              <w:rPr>
                <w:rFonts w:ascii="宋体" w:hAnsi="宋体" w:hint="eastAsia"/>
                <w:color w:val="000000"/>
              </w:rPr>
              <w:t>公允价值（元）</w:t>
            </w:r>
          </w:p>
        </w:tc>
        <w:tc>
          <w:tcPr>
            <w:tcW w:w="1414" w:type="pct"/>
            <w:tcBorders>
              <w:top w:val="single" w:sz="4" w:space="0" w:color="auto"/>
              <w:left w:val="single" w:sz="4" w:space="0" w:color="auto"/>
              <w:bottom w:val="single" w:sz="4" w:space="0" w:color="auto"/>
              <w:right w:val="single" w:sz="4" w:space="0" w:color="auto"/>
            </w:tcBorders>
            <w:shd w:val="clear" w:color="auto" w:fill="D9D9D9"/>
            <w:vAlign w:val="center"/>
          </w:tcPr>
          <w:p w:rsidR="00EE2B98" w:rsidRDefault="00EE2B98" w:rsidP="00E92BF7">
            <w:pPr>
              <w:jc w:val="center"/>
              <w:rPr>
                <w:rFonts w:ascii="宋体" w:hAnsi="宋体"/>
                <w:color w:val="000000"/>
              </w:rPr>
            </w:pPr>
            <w:r>
              <w:rPr>
                <w:rFonts w:ascii="宋体" w:hAnsi="宋体" w:hint="eastAsia"/>
                <w:color w:val="000000"/>
              </w:rPr>
              <w:t xml:space="preserve">占基金资产净值比例（%） </w:t>
            </w:r>
          </w:p>
        </w:tc>
      </w:tr>
      <w:tr w:rsidR="00EE2B98" w:rsidTr="00E92BF7">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1</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170405</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17农发05</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65,900,000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7,019,063,279.71</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92.36</w:t>
            </w:r>
          </w:p>
        </w:tc>
      </w:tr>
      <w:tr w:rsidR="00EE2B98" w:rsidTr="00E92BF7">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2</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200204</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center"/>
            </w:pPr>
            <w:r>
              <w:rPr>
                <w:rFonts w:ascii="宋体" w:hAnsi="宋体" w:hint="eastAsia"/>
                <w:lang w:eastAsia="zh-Hans"/>
              </w:rPr>
              <w:t>20国开04</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51,700,000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5,416,179,156.36</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E2B98" w:rsidRDefault="00EE2B98" w:rsidP="00E92BF7">
            <w:pPr>
              <w:jc w:val="right"/>
            </w:pPr>
            <w:r>
              <w:rPr>
                <w:rFonts w:ascii="宋体" w:hAnsi="宋体" w:hint="eastAsia"/>
                <w:lang w:eastAsia="zh-Hans"/>
              </w:rPr>
              <w:t>71.27</w:t>
            </w:r>
          </w:p>
        </w:tc>
      </w:tr>
    </w:tbl>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55" w:name="_Toc17898203"/>
      <w:bookmarkStart w:id="156" w:name="_Toc17897955"/>
      <w:bookmarkStart w:id="157" w:name="_Toc481075072"/>
      <w:bookmarkStart w:id="158" w:name="_Toc438646473"/>
      <w:bookmarkStart w:id="159" w:name="_Toc490050025"/>
      <w:bookmarkStart w:id="160" w:name="_Toc512519504"/>
      <w:bookmarkStart w:id="161" w:name="_Toc513295864"/>
      <w:bookmarkStart w:id="162" w:name="_Toc513295916"/>
      <w:bookmarkStart w:id="163" w:name="m507"/>
      <w:bookmarkEnd w:id="154"/>
      <w:r>
        <w:rPr>
          <w:rFonts w:hAnsi="宋体" w:hint="eastAsia"/>
        </w:rPr>
        <w:t>报告期末按公允价值占基金资产净值比例大小排序的前十名资产支持证券投资明细</w:t>
      </w:r>
      <w:bookmarkEnd w:id="155"/>
      <w:bookmarkEnd w:id="156"/>
      <w:bookmarkEnd w:id="157"/>
      <w:bookmarkEnd w:id="158"/>
      <w:bookmarkEnd w:id="159"/>
      <w:bookmarkEnd w:id="160"/>
      <w:bookmarkEnd w:id="161"/>
      <w:bookmarkEnd w:id="162"/>
      <w:r>
        <w:rPr>
          <w:rFonts w:hAnsi="宋体" w:hint="eastAsia"/>
        </w:rPr>
        <w:t xml:space="preserve"> </w:t>
      </w:r>
    </w:p>
    <w:p w:rsidR="00EE2B98" w:rsidRDefault="00EE2B98" w:rsidP="00EE2B98">
      <w:pPr>
        <w:spacing w:line="360" w:lineRule="auto"/>
        <w:ind w:firstLineChars="200" w:firstLine="420"/>
        <w:jc w:val="left"/>
      </w:pPr>
      <w:r>
        <w:rPr>
          <w:rFonts w:ascii="宋体" w:hAnsi="宋体" w:hint="eastAsia"/>
          <w:color w:val="000000"/>
          <w:lang w:eastAsia="zh-Hans"/>
        </w:rPr>
        <w:t>本基金本报告期末未持有资产支持证券。</w:t>
      </w:r>
    </w:p>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64" w:name="_Toc17898204"/>
      <w:bookmarkStart w:id="165" w:name="_Toc17897956"/>
      <w:bookmarkStart w:id="166" w:name="_Toc481075073"/>
      <w:bookmarkStart w:id="167" w:name="_Toc438646474"/>
      <w:bookmarkStart w:id="168" w:name="_Toc490050026"/>
      <w:bookmarkStart w:id="169" w:name="_Toc512519505"/>
      <w:bookmarkStart w:id="170" w:name="_Toc513295865"/>
      <w:bookmarkStart w:id="171" w:name="_Toc513295917"/>
      <w:bookmarkStart w:id="172" w:name="m508"/>
      <w:bookmarkEnd w:id="163"/>
      <w:r>
        <w:rPr>
          <w:rFonts w:hAnsi="宋体" w:hint="eastAsia"/>
        </w:rPr>
        <w:t>报告期末按公允价值占基金资产净值比例大小排序的前五名贵金属投资明细</w:t>
      </w:r>
      <w:bookmarkEnd w:id="164"/>
      <w:bookmarkEnd w:id="165"/>
      <w:bookmarkEnd w:id="166"/>
      <w:bookmarkEnd w:id="167"/>
      <w:bookmarkEnd w:id="168"/>
      <w:bookmarkEnd w:id="169"/>
      <w:bookmarkEnd w:id="170"/>
      <w:bookmarkEnd w:id="171"/>
      <w:r>
        <w:rPr>
          <w:rFonts w:hAnsi="宋体" w:hint="eastAsia"/>
        </w:rPr>
        <w:t xml:space="preserve"> </w:t>
      </w:r>
    </w:p>
    <w:p w:rsidR="00EE2B98" w:rsidRDefault="00EE2B98" w:rsidP="00EE2B98">
      <w:pPr>
        <w:spacing w:line="360" w:lineRule="auto"/>
        <w:ind w:firstLineChars="200" w:firstLine="420"/>
      </w:pPr>
      <w:r>
        <w:rPr>
          <w:rFonts w:ascii="宋体" w:hAnsi="宋体" w:hint="eastAsia"/>
          <w:lang w:eastAsia="zh-Hans"/>
        </w:rPr>
        <w:t>本基金本报告期末未持有贵金属。</w:t>
      </w:r>
    </w:p>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73" w:name="_Toc17898205"/>
      <w:bookmarkStart w:id="174" w:name="_Toc17897957"/>
      <w:bookmarkStart w:id="175" w:name="_Toc481075074"/>
      <w:bookmarkStart w:id="176" w:name="_Toc438646475"/>
      <w:bookmarkStart w:id="177" w:name="_Toc490050027"/>
      <w:bookmarkStart w:id="178" w:name="_Toc512519506"/>
      <w:bookmarkStart w:id="179" w:name="_Toc513295866"/>
      <w:bookmarkStart w:id="180" w:name="_Toc513295918"/>
      <w:bookmarkStart w:id="181" w:name="m509"/>
      <w:bookmarkEnd w:id="172"/>
      <w:r>
        <w:rPr>
          <w:rFonts w:hAnsi="宋体" w:hint="eastAsia"/>
        </w:rPr>
        <w:t>报告期末按公允价值占基金资产净值比例大小排序的前五名权证投资明细</w:t>
      </w:r>
      <w:bookmarkEnd w:id="173"/>
      <w:bookmarkEnd w:id="174"/>
      <w:bookmarkEnd w:id="175"/>
      <w:bookmarkEnd w:id="176"/>
      <w:bookmarkEnd w:id="177"/>
      <w:bookmarkEnd w:id="178"/>
      <w:bookmarkEnd w:id="179"/>
      <w:bookmarkEnd w:id="180"/>
      <w:r>
        <w:rPr>
          <w:rFonts w:hAnsi="宋体" w:hint="eastAsia"/>
        </w:rPr>
        <w:t xml:space="preserve"> </w:t>
      </w:r>
      <w:bookmarkEnd w:id="181"/>
    </w:p>
    <w:p w:rsidR="00EE2B98" w:rsidRDefault="00EE2B98" w:rsidP="00EE2B98">
      <w:pPr>
        <w:spacing w:line="360" w:lineRule="auto"/>
        <w:ind w:firstLineChars="200" w:firstLine="420"/>
      </w:pPr>
      <w:r>
        <w:rPr>
          <w:rFonts w:ascii="宋体" w:hAnsi="宋体" w:hint="eastAsia"/>
          <w:lang w:eastAsia="zh-Hans"/>
        </w:rPr>
        <w:t>本基金本报告期末未持有权证。</w:t>
      </w:r>
    </w:p>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182" w:name="_Toc17898209"/>
      <w:bookmarkStart w:id="183" w:name="_Toc17897959"/>
      <w:bookmarkStart w:id="184" w:name="_Toc512519510"/>
      <w:bookmarkStart w:id="185" w:name="_Toc481075078"/>
      <w:bookmarkStart w:id="186" w:name="_Toc490050031"/>
      <w:bookmarkStart w:id="187" w:name="_Toc513295868"/>
      <w:bookmarkStart w:id="188" w:name="_Toc513295922"/>
      <w:bookmarkStart w:id="189" w:name="_Toc438646476"/>
      <w:r>
        <w:rPr>
          <w:rFonts w:hAnsi="宋体" w:hint="eastAsia"/>
        </w:rPr>
        <w:t>报告期末本基金投资的国债期货交易情况说明</w:t>
      </w:r>
      <w:bookmarkEnd w:id="182"/>
      <w:bookmarkEnd w:id="183"/>
      <w:bookmarkEnd w:id="184"/>
      <w:bookmarkEnd w:id="185"/>
      <w:bookmarkEnd w:id="186"/>
      <w:bookmarkEnd w:id="187"/>
      <w:bookmarkEnd w:id="188"/>
      <w:r>
        <w:rPr>
          <w:rFonts w:hAnsi="宋体" w:hint="eastAsia"/>
        </w:rPr>
        <w:t xml:space="preserve"> </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190" w:name="_Toc17898210"/>
      <w:bookmarkStart w:id="191" w:name="_Toc512519511"/>
      <w:bookmarkStart w:id="192" w:name="_Toc481075079"/>
      <w:bookmarkStart w:id="193" w:name="_Toc490050032"/>
      <w:bookmarkStart w:id="194" w:name="_Toc513295923"/>
      <w:bookmarkStart w:id="195" w:name="m510_01_1597"/>
      <w:r>
        <w:rPr>
          <w:rFonts w:hint="eastAsia"/>
        </w:rPr>
        <w:t>本期国债期货投资政策</w:t>
      </w:r>
      <w:bookmarkEnd w:id="190"/>
      <w:bookmarkEnd w:id="191"/>
      <w:bookmarkEnd w:id="192"/>
      <w:bookmarkEnd w:id="193"/>
      <w:bookmarkEnd w:id="194"/>
    </w:p>
    <w:p w:rsidR="00EE2B98" w:rsidRDefault="00EE2B98" w:rsidP="00EE2B98">
      <w:pPr>
        <w:spacing w:line="360" w:lineRule="auto"/>
        <w:ind w:firstLineChars="200" w:firstLine="420"/>
        <w:rPr>
          <w:rFonts w:ascii="宋体" w:hAnsi="宋体"/>
        </w:rPr>
      </w:pPr>
      <w:r>
        <w:rPr>
          <w:rFonts w:ascii="宋体" w:hAnsi="宋体" w:hint="eastAsia"/>
        </w:rPr>
        <w:t>本基金本报告期末未持有国债期货。</w:t>
      </w:r>
      <w:bookmarkEnd w:id="189"/>
      <w:r>
        <w:rPr>
          <w:rFonts w:ascii="宋体" w:hAnsi="宋体" w:hint="eastAsia"/>
        </w:rPr>
        <w:t xml:space="preserve"> </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196" w:name="_Toc17898211"/>
      <w:bookmarkStart w:id="197" w:name="_Toc481075080"/>
      <w:bookmarkStart w:id="198" w:name="_Toc490050033"/>
      <w:bookmarkStart w:id="199" w:name="_Toc512519512"/>
      <w:bookmarkStart w:id="200" w:name="_Toc513295924"/>
      <w:bookmarkStart w:id="201" w:name="m510_01_1598"/>
      <w:bookmarkEnd w:id="195"/>
      <w:r>
        <w:rPr>
          <w:rFonts w:hint="eastAsia"/>
        </w:rPr>
        <w:lastRenderedPageBreak/>
        <w:t>报告期末本基金投资的国债期货持仓和损益明细</w:t>
      </w:r>
      <w:bookmarkEnd w:id="196"/>
      <w:bookmarkEnd w:id="197"/>
      <w:bookmarkEnd w:id="198"/>
      <w:bookmarkEnd w:id="199"/>
      <w:bookmarkEnd w:id="200"/>
      <w:r>
        <w:rPr>
          <w:rFonts w:hint="eastAsia"/>
        </w:rPr>
        <w:t xml:space="preserve"> </w:t>
      </w:r>
    </w:p>
    <w:p w:rsidR="00EE2B98" w:rsidRDefault="00EE2B98" w:rsidP="00EE2B98">
      <w:pPr>
        <w:spacing w:line="360" w:lineRule="auto"/>
        <w:ind w:firstLineChars="200" w:firstLine="420"/>
      </w:pPr>
      <w:r>
        <w:rPr>
          <w:rFonts w:ascii="宋体" w:hAnsi="宋体" w:hint="eastAsia"/>
          <w:lang w:eastAsia="zh-Hans"/>
        </w:rPr>
        <w:t>本基金本报告期末未持有国债期货。</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02" w:name="_Toc17898212"/>
      <w:bookmarkStart w:id="203" w:name="_Toc512519513"/>
      <w:bookmarkStart w:id="204" w:name="_Toc481075081"/>
      <w:bookmarkStart w:id="205" w:name="_Toc490050034"/>
      <w:bookmarkStart w:id="206" w:name="_Toc513295925"/>
      <w:r>
        <w:rPr>
          <w:rFonts w:hint="eastAsia"/>
        </w:rPr>
        <w:t>本期国债期货投资评价</w:t>
      </w:r>
      <w:bookmarkEnd w:id="202"/>
      <w:bookmarkEnd w:id="203"/>
      <w:bookmarkEnd w:id="204"/>
      <w:bookmarkEnd w:id="205"/>
      <w:bookmarkEnd w:id="206"/>
    </w:p>
    <w:p w:rsidR="00EE2B98" w:rsidRDefault="00EE2B98" w:rsidP="00EE2B98">
      <w:pPr>
        <w:spacing w:line="360" w:lineRule="auto"/>
        <w:ind w:firstLineChars="200" w:firstLine="420"/>
      </w:pPr>
      <w:r>
        <w:rPr>
          <w:rFonts w:ascii="宋体" w:hAnsi="宋体" w:hint="eastAsia"/>
        </w:rPr>
        <w:t>本基金本报告期末未持有国债期货。</w:t>
      </w:r>
    </w:p>
    <w:p w:rsidR="00EE2B98" w:rsidRDefault="00EE2B98" w:rsidP="00EE2B98">
      <w:pPr>
        <w:pStyle w:val="XBRLTitle2"/>
        <w:keepNext w:val="0"/>
        <w:keepLines w:val="0"/>
        <w:numPr>
          <w:ilvl w:val="1"/>
          <w:numId w:val="32"/>
        </w:numPr>
        <w:tabs>
          <w:tab w:val="clear" w:pos="432"/>
          <w:tab w:val="clear" w:pos="1427"/>
        </w:tabs>
        <w:spacing w:before="156" w:afterLines="0" w:after="0" w:line="360" w:lineRule="auto"/>
        <w:rPr>
          <w:rFonts w:hAnsi="宋体"/>
        </w:rPr>
      </w:pPr>
      <w:bookmarkStart w:id="207" w:name="_Toc17898213"/>
      <w:bookmarkStart w:id="208" w:name="_Toc17897960"/>
      <w:bookmarkStart w:id="209" w:name="_Toc512519514"/>
      <w:bookmarkStart w:id="210" w:name="_Toc481075082"/>
      <w:bookmarkStart w:id="211" w:name="_Toc490050035"/>
      <w:bookmarkStart w:id="212" w:name="_Toc513295869"/>
      <w:bookmarkStart w:id="213" w:name="_Toc513295926"/>
      <w:r>
        <w:rPr>
          <w:rFonts w:hAnsi="宋体" w:hint="eastAsia"/>
        </w:rPr>
        <w:t>投资组合报告附注</w:t>
      </w:r>
      <w:bookmarkEnd w:id="207"/>
      <w:bookmarkEnd w:id="208"/>
      <w:bookmarkEnd w:id="209"/>
      <w:bookmarkEnd w:id="210"/>
      <w:bookmarkEnd w:id="211"/>
      <w:bookmarkEnd w:id="212"/>
      <w:bookmarkEnd w:id="213"/>
      <w:r>
        <w:rPr>
          <w:rFonts w:hAnsi="宋体" w:hint="eastAsia"/>
        </w:rPr>
        <w:t xml:space="preserve"> </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14" w:name="_Toc512519515"/>
      <w:bookmarkStart w:id="215" w:name="_Toc481075083"/>
      <w:bookmarkStart w:id="216" w:name="_Toc490050036"/>
      <w:bookmarkStart w:id="217" w:name="_Toc513295927"/>
      <w:bookmarkStart w:id="218" w:name="_Toc17898214"/>
      <w:r>
        <w:rPr>
          <w:rFonts w:hAnsi="宋体" w:hint="eastAsia"/>
        </w:rPr>
        <w:t>本基金投资的前十名证券的发行主体本期是否出现被监管部门立案调查，或在报告编制日前一年内受到公开谴责、处罚的情形</w:t>
      </w:r>
      <w:bookmarkEnd w:id="214"/>
      <w:bookmarkEnd w:id="215"/>
      <w:bookmarkEnd w:id="216"/>
      <w:bookmarkEnd w:id="217"/>
      <w:bookmarkEnd w:id="218"/>
    </w:p>
    <w:p w:rsidR="00EE2B98" w:rsidRDefault="00EE2B98" w:rsidP="00EE2B98">
      <w:pPr>
        <w:spacing w:line="360" w:lineRule="auto"/>
        <w:ind w:firstLineChars="200" w:firstLine="420"/>
      </w:pPr>
      <w:r>
        <w:rPr>
          <w:rFonts w:ascii="宋体" w:hAnsi="宋体" w:hint="eastAsia"/>
        </w:rPr>
        <w:t>报告期内，本基金投资的前十名证券的发行主体没有被监管部门立案调查，或在报告编制日前一年内受到公开谴责、处罚的情形。</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19" w:name="_Toc512519516"/>
      <w:bookmarkStart w:id="220" w:name="_Toc481075084"/>
      <w:bookmarkStart w:id="221" w:name="_Toc490050037"/>
      <w:bookmarkStart w:id="222" w:name="_Toc513295928"/>
      <w:bookmarkStart w:id="223" w:name="_Toc17898215"/>
      <w:r>
        <w:rPr>
          <w:rFonts w:hAnsi="宋体" w:hint="eastAsia"/>
        </w:rPr>
        <w:t>基金投资的前十名股票是否超出基金合同规定的备选股票库</w:t>
      </w:r>
      <w:bookmarkEnd w:id="219"/>
      <w:bookmarkEnd w:id="220"/>
      <w:bookmarkEnd w:id="221"/>
      <w:bookmarkEnd w:id="222"/>
      <w:bookmarkEnd w:id="223"/>
    </w:p>
    <w:p w:rsidR="00EE2B98" w:rsidRDefault="00EE2B98" w:rsidP="00EE2B98">
      <w:pPr>
        <w:spacing w:line="360" w:lineRule="auto"/>
        <w:ind w:firstLineChars="200" w:firstLine="420"/>
      </w:pPr>
      <w:r>
        <w:rPr>
          <w:rFonts w:ascii="宋体" w:hAnsi="宋体" w:hint="eastAsia"/>
        </w:rPr>
        <w:t>报告期内，本基金未投资股票。</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24" w:name="_Toc17898216"/>
      <w:bookmarkStart w:id="225" w:name="_Toc481075085"/>
      <w:bookmarkStart w:id="226" w:name="_Toc490050038"/>
      <w:bookmarkStart w:id="227" w:name="_Toc512519517"/>
      <w:bookmarkStart w:id="228" w:name="_Toc513295929"/>
      <w:bookmarkStart w:id="229" w:name="m510_02"/>
      <w:bookmarkEnd w:id="201"/>
      <w:r>
        <w:rPr>
          <w:rFonts w:hint="eastAsia"/>
        </w:rPr>
        <w:t>其他资产构成</w:t>
      </w:r>
      <w:bookmarkEnd w:id="224"/>
      <w:bookmarkEnd w:id="225"/>
      <w:bookmarkEnd w:id="226"/>
      <w:bookmarkEnd w:id="227"/>
      <w:bookmarkEnd w:id="228"/>
    </w:p>
    <w:p w:rsidR="00EE2B98" w:rsidRDefault="00EE2B98" w:rsidP="00EE2B98">
      <w:pPr>
        <w:spacing w:line="360" w:lineRule="auto"/>
        <w:ind w:firstLineChars="200" w:firstLine="420"/>
        <w:jc w:val="left"/>
      </w:pPr>
      <w:r>
        <w:rPr>
          <w:rFonts w:ascii="宋体" w:hAnsi="宋体" w:hint="eastAsia"/>
        </w:rPr>
        <w:t>本基金报告期末无其他资产。</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30" w:name="_Toc17898217"/>
      <w:bookmarkStart w:id="231" w:name="_Toc481075086"/>
      <w:bookmarkStart w:id="232" w:name="_Toc490050039"/>
      <w:bookmarkStart w:id="233" w:name="_Toc512519518"/>
      <w:bookmarkStart w:id="234" w:name="_Toc513295930"/>
      <w:bookmarkStart w:id="235" w:name="m510_03"/>
      <w:bookmarkEnd w:id="229"/>
      <w:r>
        <w:rPr>
          <w:rFonts w:hint="eastAsia"/>
        </w:rPr>
        <w:t>报告期末持有的处于转股期的可转换债券明细</w:t>
      </w:r>
      <w:bookmarkEnd w:id="230"/>
      <w:bookmarkEnd w:id="231"/>
      <w:bookmarkEnd w:id="232"/>
      <w:bookmarkEnd w:id="233"/>
      <w:bookmarkEnd w:id="234"/>
    </w:p>
    <w:p w:rsidR="00EE2B98" w:rsidRDefault="00EE2B98" w:rsidP="00EE2B98">
      <w:pPr>
        <w:spacing w:line="360" w:lineRule="auto"/>
        <w:ind w:firstLineChars="200" w:firstLine="420"/>
        <w:jc w:val="left"/>
        <w:rPr>
          <w:rFonts w:ascii="宋体" w:hAnsi="宋体"/>
        </w:rPr>
      </w:pPr>
      <w:r>
        <w:rPr>
          <w:rFonts w:ascii="宋体" w:hAnsi="宋体" w:hint="eastAsia"/>
        </w:rPr>
        <w:t xml:space="preserve">本基金本报告期末未持有处于转股期的可转换债券。 </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pPr>
      <w:bookmarkStart w:id="236" w:name="_Toc17898218"/>
      <w:bookmarkStart w:id="237" w:name="_Toc481075087"/>
      <w:bookmarkStart w:id="238" w:name="_Toc490050040"/>
      <w:bookmarkStart w:id="239" w:name="_Toc512519519"/>
      <w:bookmarkStart w:id="240" w:name="_Toc513295931"/>
      <w:bookmarkStart w:id="241" w:name="m510_04"/>
      <w:bookmarkEnd w:id="235"/>
      <w:r>
        <w:rPr>
          <w:rFonts w:hint="eastAsia"/>
        </w:rPr>
        <w:t>报告期末前十名股票中存在流通受限情况的说明</w:t>
      </w:r>
      <w:bookmarkEnd w:id="236"/>
      <w:bookmarkEnd w:id="237"/>
      <w:bookmarkEnd w:id="238"/>
      <w:bookmarkEnd w:id="239"/>
      <w:bookmarkEnd w:id="240"/>
    </w:p>
    <w:p w:rsidR="00EE2B98" w:rsidRDefault="00EE2B98" w:rsidP="00EE2B98">
      <w:pPr>
        <w:spacing w:line="360" w:lineRule="auto"/>
        <w:ind w:firstLineChars="200" w:firstLine="420"/>
        <w:jc w:val="left"/>
      </w:pPr>
      <w:r>
        <w:rPr>
          <w:rFonts w:ascii="宋体" w:hAnsi="宋体" w:hint="eastAsia"/>
        </w:rPr>
        <w:t>本基金本报告期末未持有股票。</w:t>
      </w:r>
    </w:p>
    <w:p w:rsidR="00EE2B98" w:rsidRDefault="00EE2B98" w:rsidP="00EE2B98">
      <w:pPr>
        <w:pStyle w:val="XBRLTitle3"/>
        <w:keepNext w:val="0"/>
        <w:keepLines w:val="0"/>
        <w:numPr>
          <w:ilvl w:val="2"/>
          <w:numId w:val="32"/>
        </w:numPr>
        <w:tabs>
          <w:tab w:val="clear" w:pos="432"/>
          <w:tab w:val="clear" w:pos="720"/>
          <w:tab w:val="clear" w:pos="1427"/>
        </w:tabs>
        <w:spacing w:before="156" w:afterLines="0" w:after="0" w:line="360" w:lineRule="auto"/>
        <w:ind w:left="0" w:firstLine="0"/>
        <w:rPr>
          <w:sz w:val="21"/>
        </w:rPr>
      </w:pPr>
      <w:bookmarkStart w:id="242" w:name="_Toc17898219"/>
      <w:bookmarkStart w:id="243" w:name="_Toc512519520"/>
      <w:bookmarkStart w:id="244" w:name="_Toc481075088"/>
      <w:bookmarkStart w:id="245" w:name="_Toc490050041"/>
      <w:bookmarkStart w:id="246" w:name="_Toc513295932"/>
      <w:bookmarkStart w:id="247" w:name="m510_05_1678"/>
      <w:bookmarkEnd w:id="241"/>
      <w:r>
        <w:rPr>
          <w:rFonts w:hint="eastAsia"/>
        </w:rPr>
        <w:t>投资组合报告附注的其他文字描述部分</w:t>
      </w:r>
      <w:bookmarkEnd w:id="242"/>
      <w:bookmarkEnd w:id="243"/>
      <w:bookmarkEnd w:id="244"/>
      <w:bookmarkEnd w:id="245"/>
      <w:bookmarkEnd w:id="246"/>
      <w:r>
        <w:rPr>
          <w:rFonts w:hint="eastAsia"/>
          <w:sz w:val="21"/>
        </w:rPr>
        <w:t xml:space="preserve"> </w:t>
      </w:r>
    </w:p>
    <w:p w:rsidR="00EE2B98" w:rsidRDefault="00EE2B98" w:rsidP="00EE2B98">
      <w:pPr>
        <w:spacing w:line="360" w:lineRule="auto"/>
        <w:ind w:firstLineChars="200" w:firstLine="420"/>
        <w:jc w:val="left"/>
        <w:rPr>
          <w:rFonts w:ascii="宋体" w:hAnsi="宋体"/>
        </w:rPr>
      </w:pPr>
      <w:r>
        <w:rPr>
          <w:rFonts w:ascii="宋体" w:hAnsi="宋体" w:hint="eastAsia"/>
        </w:rPr>
        <w:t>本基金固定收益类证券估值采用摊余成本法，即估值对象以买入成本列示，按票面利率或商定利率并考虑其买入时的溢价与折价，在其剩余存续期内按照实际利率法进行摊销，每日计提损益。本报告中投资组合报告公允价值部分均以摊余成本列示。</w:t>
      </w:r>
      <w:bookmarkEnd w:id="247"/>
      <w:r>
        <w:rPr>
          <w:rFonts w:ascii="宋体" w:hAnsi="宋体" w:hint="eastAsia"/>
        </w:rPr>
        <w:t xml:space="preserve"> </w:t>
      </w:r>
    </w:p>
    <w:p w:rsidR="00822B64" w:rsidRDefault="00E92BF7">
      <w:pPr>
        <w:snapToGrid w:val="0"/>
        <w:spacing w:line="360" w:lineRule="auto"/>
        <w:rPr>
          <w:rFonts w:ascii="宋体" w:hAnsi="宋体"/>
        </w:rPr>
      </w:pPr>
      <w:r>
        <w:rPr>
          <w:rFonts w:ascii="宋体" w:hAnsi="宋体"/>
        </w:rPr>
        <w:br w:type="page"/>
      </w:r>
    </w:p>
    <w:p w:rsidR="00822B64" w:rsidRDefault="00E92BF7">
      <w:pPr>
        <w:pStyle w:val="21"/>
        <w:numPr>
          <w:ilvl w:val="0"/>
          <w:numId w:val="28"/>
        </w:numPr>
        <w:tabs>
          <w:tab w:val="clear" w:pos="420"/>
        </w:tabs>
        <w:snapToGrid w:val="0"/>
        <w:spacing w:before="0" w:after="0" w:line="360" w:lineRule="auto"/>
        <w:jc w:val="left"/>
        <w:rPr>
          <w:rFonts w:ascii="宋体" w:eastAsia="宋体" w:hAnsi="宋体"/>
        </w:rPr>
      </w:pPr>
      <w:bookmarkStart w:id="248" w:name="_Toc10234"/>
      <w:bookmarkStart w:id="249" w:name="_Toc76483022"/>
      <w:bookmarkStart w:id="250" w:name="_Toc362455187"/>
      <w:bookmarkStart w:id="251" w:name="_Toc360793502"/>
      <w:bookmarkStart w:id="252" w:name="_Toc360794104"/>
      <w:bookmarkStart w:id="253" w:name="_Toc48808888"/>
      <w:bookmarkStart w:id="254" w:name="_Toc360794520"/>
      <w:bookmarkStart w:id="255" w:name="_Toc362533459"/>
      <w:bookmarkStart w:id="256" w:name="_Toc360794412"/>
      <w:bookmarkStart w:id="257" w:name="_Toc360793854"/>
      <w:r>
        <w:rPr>
          <w:rFonts w:ascii="宋体" w:eastAsia="宋体" w:hAnsi="宋体" w:hint="eastAsia"/>
        </w:rPr>
        <w:lastRenderedPageBreak/>
        <w:t>基金</w:t>
      </w:r>
      <w:r>
        <w:rPr>
          <w:rFonts w:ascii="宋体" w:eastAsia="宋体" w:hAnsi="宋体"/>
        </w:rPr>
        <w:t>的业绩</w:t>
      </w:r>
      <w:bookmarkEnd w:id="248"/>
      <w:bookmarkEnd w:id="249"/>
    </w:p>
    <w:p w:rsidR="00822B64" w:rsidRDefault="00E92BF7">
      <w:pPr>
        <w:spacing w:line="360" w:lineRule="auto"/>
        <w:ind w:firstLineChars="200" w:firstLine="440"/>
        <w:rPr>
          <w:rFonts w:ascii="宋体" w:hAnsi="宋体" w:cs="宋体"/>
          <w:bCs/>
          <w:sz w:val="22"/>
          <w:szCs w:val="22"/>
        </w:rPr>
      </w:pPr>
      <w:r>
        <w:rPr>
          <w:rFonts w:hint="eastAsia"/>
          <w:bCs/>
          <w:sz w:val="22"/>
          <w:szCs w:val="22"/>
        </w:rPr>
        <w:t>本基金管理人依照恪尽职守、诚实信用、谨慎勤勉的原则管理和运用基金财产</w:t>
      </w:r>
      <w:r>
        <w:rPr>
          <w:rFonts w:hint="eastAsia"/>
          <w:bCs/>
          <w:sz w:val="22"/>
          <w:szCs w:val="22"/>
        </w:rPr>
        <w:t>,</w:t>
      </w:r>
      <w:r>
        <w:rPr>
          <w:rFonts w:hint="eastAsia"/>
          <w:bCs/>
          <w:sz w:val="22"/>
          <w:szCs w:val="22"/>
        </w:rPr>
        <w:t>但不保证基金一定盈利</w:t>
      </w:r>
      <w:r>
        <w:rPr>
          <w:rFonts w:hint="eastAsia"/>
          <w:bCs/>
          <w:sz w:val="22"/>
          <w:szCs w:val="22"/>
        </w:rPr>
        <w:t>,</w:t>
      </w:r>
      <w:r>
        <w:rPr>
          <w:rFonts w:hint="eastAsia"/>
          <w:bCs/>
          <w:sz w:val="22"/>
          <w:szCs w:val="22"/>
        </w:rPr>
        <w:t>也不保证最低收益。基金的过往业绩并不代表其未来表现</w:t>
      </w:r>
      <w:r>
        <w:rPr>
          <w:rFonts w:ascii="宋体" w:hAnsi="宋体" w:cs="宋体" w:hint="eastAsia"/>
          <w:bCs/>
          <w:sz w:val="22"/>
          <w:szCs w:val="22"/>
        </w:rPr>
        <w:t>。投资有风险，投资者在做出投资决策前应仔细阅读本基金的招募说明书。</w:t>
      </w:r>
    </w:p>
    <w:p w:rsidR="00822B64" w:rsidRDefault="00E92BF7">
      <w:pPr>
        <w:pStyle w:val="XBRLTitle3"/>
        <w:numPr>
          <w:ilvl w:val="0"/>
          <w:numId w:val="0"/>
        </w:numPr>
        <w:spacing w:beforeLines="0" w:afterLines="0" w:line="360" w:lineRule="auto"/>
        <w:rPr>
          <w:rFonts w:ascii="宋体" w:eastAsia="宋体" w:hAnsi="宋体" w:cs="宋体"/>
          <w:bCs w:val="0"/>
          <w:kern w:val="2"/>
          <w:sz w:val="21"/>
          <w:szCs w:val="21"/>
        </w:rPr>
      </w:pPr>
      <w:r>
        <w:rPr>
          <w:rFonts w:ascii="宋体" w:eastAsia="宋体" w:hAnsi="宋体" w:cs="宋体" w:hint="eastAsia"/>
          <w:bCs w:val="0"/>
          <w:kern w:val="2"/>
          <w:sz w:val="21"/>
          <w:szCs w:val="21"/>
        </w:rPr>
        <w:t>一、本基金份额净值增长率及其与同期业绩比较基准收益率的比较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276"/>
        <w:gridCol w:w="1494"/>
        <w:gridCol w:w="1033"/>
        <w:gridCol w:w="1096"/>
      </w:tblGrid>
      <w:tr w:rsidR="00822B64" w:rsidTr="00E706CD">
        <w:tc>
          <w:tcPr>
            <w:tcW w:w="1555" w:type="dxa"/>
            <w:shd w:val="clear" w:color="auto" w:fill="D9D9D9"/>
            <w:vAlign w:val="center"/>
          </w:tcPr>
          <w:p w:rsidR="00822B64" w:rsidRDefault="00E92BF7">
            <w:pPr>
              <w:jc w:val="center"/>
              <w:rPr>
                <w:rFonts w:ascii="宋体" w:hAnsi="宋体"/>
              </w:rPr>
            </w:pPr>
            <w:bookmarkStart w:id="258" w:name="m30201a_tab" w:colFirst="0" w:colLast="7"/>
            <w:r>
              <w:rPr>
                <w:rFonts w:ascii="宋体" w:hAnsi="宋体" w:hint="eastAsia"/>
              </w:rPr>
              <w:t>阶段</w:t>
            </w:r>
          </w:p>
        </w:tc>
        <w:tc>
          <w:tcPr>
            <w:tcW w:w="850" w:type="dxa"/>
            <w:shd w:val="clear" w:color="auto" w:fill="D9D9D9"/>
            <w:vAlign w:val="center"/>
          </w:tcPr>
          <w:p w:rsidR="00822B64" w:rsidRDefault="00E92BF7">
            <w:pPr>
              <w:jc w:val="center"/>
              <w:rPr>
                <w:rFonts w:ascii="宋体" w:hAnsi="宋体"/>
              </w:rPr>
            </w:pPr>
            <w:r>
              <w:rPr>
                <w:rFonts w:ascii="宋体" w:hAnsi="宋体" w:hint="eastAsia"/>
              </w:rPr>
              <w:t>净值增长率①</w:t>
            </w:r>
          </w:p>
        </w:tc>
        <w:tc>
          <w:tcPr>
            <w:tcW w:w="992" w:type="dxa"/>
            <w:shd w:val="clear" w:color="auto" w:fill="D9D9D9"/>
            <w:vAlign w:val="center"/>
          </w:tcPr>
          <w:p w:rsidR="00822B64" w:rsidRDefault="00E92BF7">
            <w:pPr>
              <w:jc w:val="center"/>
              <w:rPr>
                <w:rFonts w:ascii="宋体" w:hAnsi="宋体"/>
              </w:rPr>
            </w:pPr>
            <w:r>
              <w:rPr>
                <w:rFonts w:ascii="宋体" w:hAnsi="宋体" w:hint="eastAsia"/>
              </w:rPr>
              <w:t>净值增长率标准差②</w:t>
            </w:r>
          </w:p>
        </w:tc>
        <w:tc>
          <w:tcPr>
            <w:tcW w:w="1276" w:type="dxa"/>
            <w:shd w:val="clear" w:color="auto" w:fill="D9D9D9"/>
            <w:vAlign w:val="center"/>
          </w:tcPr>
          <w:p w:rsidR="00822B64" w:rsidRDefault="00E92BF7">
            <w:pPr>
              <w:jc w:val="center"/>
              <w:rPr>
                <w:rFonts w:ascii="宋体" w:hAnsi="宋体"/>
              </w:rPr>
            </w:pPr>
            <w:r>
              <w:rPr>
                <w:rFonts w:ascii="宋体" w:hAnsi="宋体" w:hint="eastAsia"/>
              </w:rPr>
              <w:t>业绩比较基准收益率③</w:t>
            </w:r>
          </w:p>
        </w:tc>
        <w:tc>
          <w:tcPr>
            <w:tcW w:w="1494" w:type="dxa"/>
            <w:shd w:val="clear" w:color="auto" w:fill="D9D9D9"/>
            <w:vAlign w:val="center"/>
          </w:tcPr>
          <w:p w:rsidR="00822B64" w:rsidRDefault="00E92BF7">
            <w:pPr>
              <w:jc w:val="center"/>
              <w:rPr>
                <w:rFonts w:ascii="宋体" w:hAnsi="宋体"/>
              </w:rPr>
            </w:pPr>
            <w:r>
              <w:rPr>
                <w:rFonts w:ascii="宋体" w:hAnsi="宋体" w:hint="eastAsia"/>
              </w:rPr>
              <w:t>业绩比较基准收益率标准差④</w:t>
            </w:r>
          </w:p>
        </w:tc>
        <w:tc>
          <w:tcPr>
            <w:tcW w:w="1033" w:type="dxa"/>
            <w:shd w:val="clear" w:color="auto" w:fill="D9D9D9"/>
            <w:vAlign w:val="center"/>
          </w:tcPr>
          <w:p w:rsidR="00822B64" w:rsidRDefault="00E92BF7">
            <w:pPr>
              <w:jc w:val="center"/>
              <w:rPr>
                <w:rFonts w:ascii="宋体" w:hAnsi="宋体"/>
              </w:rPr>
            </w:pPr>
            <w:r>
              <w:rPr>
                <w:rFonts w:ascii="宋体" w:hAnsi="宋体" w:hint="eastAsia"/>
              </w:rPr>
              <w:t>①－③</w:t>
            </w:r>
          </w:p>
        </w:tc>
        <w:tc>
          <w:tcPr>
            <w:tcW w:w="1096" w:type="dxa"/>
            <w:shd w:val="clear" w:color="auto" w:fill="D9D9D9"/>
            <w:vAlign w:val="center"/>
          </w:tcPr>
          <w:p w:rsidR="00822B64" w:rsidRDefault="00E92BF7">
            <w:pPr>
              <w:jc w:val="center"/>
              <w:rPr>
                <w:rFonts w:ascii="宋体" w:hAnsi="宋体"/>
              </w:rPr>
            </w:pPr>
            <w:r>
              <w:rPr>
                <w:rFonts w:ascii="宋体" w:hAnsi="宋体" w:hint="eastAsia"/>
              </w:rPr>
              <w:t>②－④</w:t>
            </w:r>
          </w:p>
        </w:tc>
      </w:tr>
      <w:tr w:rsidR="00822B64" w:rsidTr="00E706CD">
        <w:tc>
          <w:tcPr>
            <w:tcW w:w="1555" w:type="dxa"/>
            <w:vAlign w:val="center"/>
          </w:tcPr>
          <w:p w:rsidR="00822B64" w:rsidRDefault="00E92BF7">
            <w:pPr>
              <w:jc w:val="center"/>
              <w:rPr>
                <w:rFonts w:ascii="宋体" w:hAnsi="宋体"/>
              </w:rPr>
            </w:pPr>
            <w:r>
              <w:rPr>
                <w:rFonts w:ascii="宋体" w:hAnsi="宋体"/>
              </w:rPr>
              <w:t>2021年7月19日</w:t>
            </w:r>
            <w:r>
              <w:rPr>
                <w:rFonts w:ascii="宋体" w:hAnsi="宋体" w:cs="宋体"/>
                <w:szCs w:val="21"/>
              </w:rPr>
              <w:t>20</w:t>
            </w:r>
            <w:r>
              <w:rPr>
                <w:rFonts w:ascii="宋体" w:hAnsi="宋体" w:cs="宋体" w:hint="eastAsia"/>
                <w:szCs w:val="21"/>
              </w:rPr>
              <w:t>21年12月</w:t>
            </w:r>
            <w:r>
              <w:rPr>
                <w:rFonts w:ascii="宋体" w:hAnsi="宋体" w:cs="宋体"/>
                <w:szCs w:val="21"/>
              </w:rPr>
              <w:t>3</w:t>
            </w:r>
            <w:r>
              <w:rPr>
                <w:rFonts w:ascii="宋体" w:hAnsi="宋体" w:cs="宋体" w:hint="eastAsia"/>
                <w:szCs w:val="21"/>
              </w:rPr>
              <w:t>1日</w:t>
            </w:r>
          </w:p>
        </w:tc>
        <w:tc>
          <w:tcPr>
            <w:tcW w:w="850" w:type="dxa"/>
            <w:vAlign w:val="center"/>
          </w:tcPr>
          <w:p w:rsidR="00822B64" w:rsidRDefault="00E92BF7">
            <w:pPr>
              <w:jc w:val="center"/>
              <w:rPr>
                <w:rFonts w:ascii="宋体" w:hAnsi="宋体"/>
              </w:rPr>
            </w:pPr>
            <w:r>
              <w:rPr>
                <w:rFonts w:ascii="宋体" w:hAnsi="宋体"/>
              </w:rPr>
              <w:t>1.42%</w:t>
            </w:r>
          </w:p>
        </w:tc>
        <w:tc>
          <w:tcPr>
            <w:tcW w:w="992" w:type="dxa"/>
            <w:vAlign w:val="center"/>
          </w:tcPr>
          <w:p w:rsidR="00822B64" w:rsidRDefault="00E92BF7">
            <w:pPr>
              <w:jc w:val="center"/>
              <w:rPr>
                <w:rFonts w:ascii="宋体" w:hAnsi="宋体"/>
              </w:rPr>
            </w:pPr>
            <w:r>
              <w:rPr>
                <w:rFonts w:ascii="宋体" w:hAnsi="宋体"/>
              </w:rPr>
              <w:t>0.01%</w:t>
            </w:r>
          </w:p>
        </w:tc>
        <w:tc>
          <w:tcPr>
            <w:tcW w:w="1276" w:type="dxa"/>
            <w:vAlign w:val="center"/>
          </w:tcPr>
          <w:p w:rsidR="00822B64" w:rsidRDefault="00E92BF7">
            <w:pPr>
              <w:jc w:val="center"/>
              <w:rPr>
                <w:rFonts w:ascii="宋体" w:hAnsi="宋体"/>
              </w:rPr>
            </w:pPr>
            <w:r>
              <w:rPr>
                <w:rFonts w:ascii="宋体" w:hAnsi="宋体"/>
              </w:rPr>
              <w:t>1.85%</w:t>
            </w:r>
          </w:p>
        </w:tc>
        <w:tc>
          <w:tcPr>
            <w:tcW w:w="1494" w:type="dxa"/>
            <w:vAlign w:val="center"/>
          </w:tcPr>
          <w:p w:rsidR="00822B64" w:rsidRDefault="00E92BF7">
            <w:pPr>
              <w:jc w:val="center"/>
              <w:rPr>
                <w:rFonts w:ascii="宋体" w:hAnsi="宋体"/>
              </w:rPr>
            </w:pPr>
            <w:r>
              <w:rPr>
                <w:rFonts w:ascii="宋体" w:hAnsi="宋体"/>
              </w:rPr>
              <w:t>0.01%</w:t>
            </w:r>
          </w:p>
        </w:tc>
        <w:tc>
          <w:tcPr>
            <w:tcW w:w="1033" w:type="dxa"/>
            <w:vAlign w:val="center"/>
          </w:tcPr>
          <w:p w:rsidR="00822B64" w:rsidRDefault="00E92BF7">
            <w:pPr>
              <w:jc w:val="center"/>
              <w:rPr>
                <w:rFonts w:ascii="宋体" w:hAnsi="宋体"/>
              </w:rPr>
            </w:pPr>
            <w:r>
              <w:rPr>
                <w:rFonts w:ascii="宋体" w:hAnsi="宋体"/>
              </w:rPr>
              <w:t>-0.43%</w:t>
            </w:r>
          </w:p>
        </w:tc>
        <w:tc>
          <w:tcPr>
            <w:tcW w:w="1096" w:type="dxa"/>
            <w:vAlign w:val="center"/>
          </w:tcPr>
          <w:p w:rsidR="00822B64" w:rsidRDefault="00E92BF7">
            <w:pPr>
              <w:jc w:val="center"/>
              <w:rPr>
                <w:rFonts w:ascii="宋体" w:hAnsi="宋体"/>
              </w:rPr>
            </w:pPr>
            <w:r>
              <w:rPr>
                <w:rFonts w:ascii="宋体" w:hAnsi="宋体"/>
              </w:rPr>
              <w:t>0.00%</w:t>
            </w:r>
          </w:p>
        </w:tc>
      </w:tr>
      <w:tr w:rsidR="00BE0AF9" w:rsidTr="00E706CD">
        <w:tc>
          <w:tcPr>
            <w:tcW w:w="1555" w:type="dxa"/>
            <w:vAlign w:val="center"/>
          </w:tcPr>
          <w:p w:rsidR="00BE0AF9" w:rsidRDefault="00BE0AF9" w:rsidP="00BE0AF9">
            <w:pPr>
              <w:jc w:val="center"/>
              <w:rPr>
                <w:rFonts w:ascii="宋体" w:hAnsi="宋体"/>
              </w:rPr>
            </w:pPr>
            <w:r>
              <w:rPr>
                <w:rFonts w:ascii="宋体" w:hAnsi="宋体"/>
              </w:rPr>
              <w:t>2022年1月1日</w:t>
            </w:r>
            <w:r>
              <w:rPr>
                <w:rFonts w:ascii="宋体" w:hAnsi="宋体" w:cs="宋体"/>
                <w:szCs w:val="21"/>
              </w:rPr>
              <w:t>20</w:t>
            </w:r>
            <w:r>
              <w:rPr>
                <w:rFonts w:ascii="宋体" w:hAnsi="宋体" w:cs="宋体" w:hint="eastAsia"/>
                <w:szCs w:val="21"/>
              </w:rPr>
              <w:t>2</w:t>
            </w:r>
            <w:r>
              <w:rPr>
                <w:rFonts w:ascii="宋体" w:hAnsi="宋体" w:cs="宋体"/>
                <w:szCs w:val="21"/>
              </w:rPr>
              <w:t>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50" w:type="dxa"/>
            <w:vAlign w:val="center"/>
          </w:tcPr>
          <w:p w:rsidR="00BE0AF9" w:rsidRPr="00BE0AF9" w:rsidRDefault="00BE0AF9" w:rsidP="00BE0AF9">
            <w:pPr>
              <w:jc w:val="center"/>
              <w:rPr>
                <w:rFonts w:ascii="宋体" w:hAnsi="宋体"/>
              </w:rPr>
            </w:pPr>
            <w:r>
              <w:rPr>
                <w:rFonts w:ascii="宋体" w:hAnsi="宋体" w:hint="eastAsia"/>
              </w:rPr>
              <w:t>3.67</w:t>
            </w:r>
            <w:r w:rsidRPr="00BE0AF9">
              <w:rPr>
                <w:rFonts w:ascii="宋体" w:hAnsi="宋体"/>
              </w:rPr>
              <w:t>%</w:t>
            </w:r>
          </w:p>
        </w:tc>
        <w:tc>
          <w:tcPr>
            <w:tcW w:w="992" w:type="dxa"/>
            <w:vAlign w:val="center"/>
          </w:tcPr>
          <w:p w:rsidR="00BE0AF9" w:rsidRPr="00BE0AF9" w:rsidRDefault="00BE0AF9" w:rsidP="00BE0AF9">
            <w:pPr>
              <w:jc w:val="center"/>
              <w:rPr>
                <w:rFonts w:ascii="宋体" w:hAnsi="宋体"/>
              </w:rPr>
            </w:pPr>
            <w:r>
              <w:rPr>
                <w:rFonts w:ascii="宋体" w:hAnsi="宋体" w:hint="eastAsia"/>
              </w:rPr>
              <w:t>0.01</w:t>
            </w:r>
            <w:r w:rsidRPr="00BE0AF9">
              <w:rPr>
                <w:rFonts w:ascii="宋体" w:hAnsi="宋体"/>
              </w:rPr>
              <w:t>%</w:t>
            </w:r>
          </w:p>
        </w:tc>
        <w:tc>
          <w:tcPr>
            <w:tcW w:w="1276" w:type="dxa"/>
            <w:vAlign w:val="center"/>
          </w:tcPr>
          <w:p w:rsidR="00BE0AF9" w:rsidRDefault="00BE0AF9" w:rsidP="00BE0AF9">
            <w:pPr>
              <w:jc w:val="center"/>
              <w:rPr>
                <w:rFonts w:ascii="宋体" w:hAnsi="宋体"/>
              </w:rPr>
            </w:pPr>
            <w:r>
              <w:rPr>
                <w:rFonts w:ascii="宋体" w:hAnsi="宋体" w:hint="eastAsia"/>
              </w:rPr>
              <w:t>4.08</w:t>
            </w:r>
            <w:r w:rsidRPr="00BE0AF9">
              <w:rPr>
                <w:rFonts w:ascii="宋体" w:hAnsi="宋体"/>
              </w:rPr>
              <w:t>%</w:t>
            </w:r>
            <w:r>
              <w:rPr>
                <w:rFonts w:ascii="宋体" w:hAnsi="宋体" w:hint="eastAsia"/>
              </w:rPr>
              <w:t xml:space="preserve"> </w:t>
            </w:r>
          </w:p>
        </w:tc>
        <w:tc>
          <w:tcPr>
            <w:tcW w:w="1494" w:type="dxa"/>
            <w:vAlign w:val="center"/>
          </w:tcPr>
          <w:p w:rsidR="00BE0AF9" w:rsidRPr="00BE0AF9" w:rsidRDefault="00BE0AF9" w:rsidP="00BE0AF9">
            <w:pPr>
              <w:jc w:val="center"/>
              <w:rPr>
                <w:rFonts w:ascii="宋体" w:hAnsi="宋体"/>
              </w:rPr>
            </w:pPr>
            <w:r>
              <w:rPr>
                <w:rFonts w:ascii="宋体" w:hAnsi="宋体" w:hint="eastAsia"/>
              </w:rPr>
              <w:t>0.01</w:t>
            </w:r>
            <w:r w:rsidRPr="00BE0AF9">
              <w:rPr>
                <w:rFonts w:ascii="宋体" w:hAnsi="宋体"/>
              </w:rPr>
              <w:t>%</w:t>
            </w:r>
          </w:p>
        </w:tc>
        <w:tc>
          <w:tcPr>
            <w:tcW w:w="1033" w:type="dxa"/>
            <w:vAlign w:val="center"/>
          </w:tcPr>
          <w:p w:rsidR="00BE0AF9" w:rsidRPr="00BE0AF9" w:rsidRDefault="00BE0AF9" w:rsidP="00BE0AF9">
            <w:pPr>
              <w:jc w:val="center"/>
              <w:rPr>
                <w:rFonts w:ascii="宋体" w:hAnsi="宋体"/>
              </w:rPr>
            </w:pPr>
            <w:r>
              <w:rPr>
                <w:rFonts w:ascii="宋体" w:hAnsi="宋体" w:hint="eastAsia"/>
              </w:rPr>
              <w:t>-0.41</w:t>
            </w:r>
            <w:r w:rsidRPr="00BE0AF9">
              <w:rPr>
                <w:rFonts w:ascii="宋体" w:hAnsi="宋体"/>
              </w:rPr>
              <w:t>%</w:t>
            </w:r>
          </w:p>
        </w:tc>
        <w:tc>
          <w:tcPr>
            <w:tcW w:w="1096" w:type="dxa"/>
            <w:vAlign w:val="center"/>
          </w:tcPr>
          <w:p w:rsidR="00BE0AF9" w:rsidRPr="00BE0AF9" w:rsidRDefault="00BE0AF9" w:rsidP="00BE0AF9">
            <w:pPr>
              <w:jc w:val="center"/>
              <w:rPr>
                <w:rFonts w:ascii="宋体" w:hAnsi="宋体"/>
              </w:rPr>
            </w:pPr>
            <w:r>
              <w:rPr>
                <w:rFonts w:ascii="宋体" w:hAnsi="宋体" w:hint="eastAsia"/>
              </w:rPr>
              <w:t>0.00</w:t>
            </w:r>
            <w:r w:rsidRPr="00BE0AF9">
              <w:rPr>
                <w:rFonts w:ascii="宋体" w:hAnsi="宋体"/>
              </w:rPr>
              <w:t>%</w:t>
            </w:r>
          </w:p>
        </w:tc>
      </w:tr>
      <w:tr w:rsidR="00BE0AF9" w:rsidTr="00E706CD">
        <w:tc>
          <w:tcPr>
            <w:tcW w:w="1555" w:type="dxa"/>
            <w:vAlign w:val="center"/>
          </w:tcPr>
          <w:p w:rsidR="00BE0AF9" w:rsidRDefault="00BE0AF9" w:rsidP="00BE0AF9">
            <w:pPr>
              <w:jc w:val="center"/>
              <w:rPr>
                <w:rFonts w:ascii="宋体" w:hAnsi="宋体"/>
              </w:rPr>
            </w:pPr>
            <w:r>
              <w:rPr>
                <w:rFonts w:ascii="宋体" w:hAnsi="宋体"/>
              </w:rPr>
              <w:t>2021年7月19日</w:t>
            </w:r>
            <w:r>
              <w:rPr>
                <w:rFonts w:ascii="宋体" w:hAnsi="宋体" w:cs="宋体"/>
                <w:szCs w:val="21"/>
              </w:rPr>
              <w:t>20</w:t>
            </w:r>
            <w:r>
              <w:rPr>
                <w:rFonts w:ascii="宋体" w:hAnsi="宋体" w:cs="宋体" w:hint="eastAsia"/>
                <w:szCs w:val="21"/>
              </w:rPr>
              <w:t>2</w:t>
            </w:r>
            <w:r>
              <w:rPr>
                <w:rFonts w:ascii="宋体" w:hAnsi="宋体" w:cs="宋体"/>
                <w:szCs w:val="21"/>
              </w:rPr>
              <w:t>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50" w:type="dxa"/>
            <w:vAlign w:val="center"/>
          </w:tcPr>
          <w:p w:rsidR="00BE0AF9" w:rsidRPr="00BE0AF9" w:rsidRDefault="00BE0AF9" w:rsidP="00BE0AF9">
            <w:pPr>
              <w:jc w:val="center"/>
              <w:rPr>
                <w:rFonts w:ascii="宋体" w:hAnsi="宋体"/>
              </w:rPr>
            </w:pPr>
            <w:r>
              <w:rPr>
                <w:rFonts w:ascii="宋体" w:hAnsi="宋体" w:hint="eastAsia"/>
              </w:rPr>
              <w:t>5.15</w:t>
            </w:r>
            <w:r w:rsidRPr="00BE0AF9">
              <w:rPr>
                <w:rFonts w:ascii="宋体" w:hAnsi="宋体"/>
              </w:rPr>
              <w:t>%</w:t>
            </w:r>
          </w:p>
        </w:tc>
        <w:tc>
          <w:tcPr>
            <w:tcW w:w="992" w:type="dxa"/>
            <w:vAlign w:val="center"/>
          </w:tcPr>
          <w:p w:rsidR="00BE0AF9" w:rsidRPr="00BE0AF9" w:rsidRDefault="00BE0AF9" w:rsidP="00BE0AF9">
            <w:pPr>
              <w:jc w:val="center"/>
              <w:rPr>
                <w:rFonts w:ascii="宋体" w:hAnsi="宋体"/>
              </w:rPr>
            </w:pPr>
            <w:r>
              <w:rPr>
                <w:rFonts w:ascii="宋体" w:hAnsi="宋体" w:hint="eastAsia"/>
              </w:rPr>
              <w:t>0.01</w:t>
            </w:r>
            <w:r w:rsidRPr="00BE0AF9">
              <w:rPr>
                <w:rFonts w:ascii="宋体" w:hAnsi="宋体"/>
              </w:rPr>
              <w:t>%</w:t>
            </w:r>
          </w:p>
        </w:tc>
        <w:tc>
          <w:tcPr>
            <w:tcW w:w="1276" w:type="dxa"/>
            <w:vAlign w:val="center"/>
          </w:tcPr>
          <w:p w:rsidR="00BE0AF9" w:rsidRDefault="00BE0AF9" w:rsidP="00BE0AF9">
            <w:pPr>
              <w:jc w:val="center"/>
              <w:rPr>
                <w:rFonts w:ascii="宋体" w:hAnsi="宋体"/>
              </w:rPr>
            </w:pPr>
            <w:r>
              <w:rPr>
                <w:rFonts w:ascii="宋体" w:hAnsi="宋体" w:hint="eastAsia"/>
              </w:rPr>
              <w:t>6.01</w:t>
            </w:r>
            <w:r w:rsidRPr="00BE0AF9">
              <w:rPr>
                <w:rFonts w:ascii="宋体" w:hAnsi="宋体"/>
              </w:rPr>
              <w:t>%</w:t>
            </w:r>
            <w:r>
              <w:rPr>
                <w:rFonts w:ascii="宋体" w:hAnsi="宋体" w:hint="eastAsia"/>
              </w:rPr>
              <w:t xml:space="preserve"> </w:t>
            </w:r>
          </w:p>
        </w:tc>
        <w:tc>
          <w:tcPr>
            <w:tcW w:w="1494" w:type="dxa"/>
            <w:vAlign w:val="center"/>
          </w:tcPr>
          <w:p w:rsidR="00BE0AF9" w:rsidRPr="00BE0AF9" w:rsidRDefault="00BE0AF9" w:rsidP="00BE0AF9">
            <w:pPr>
              <w:jc w:val="center"/>
              <w:rPr>
                <w:rFonts w:ascii="宋体" w:hAnsi="宋体"/>
              </w:rPr>
            </w:pPr>
            <w:r>
              <w:rPr>
                <w:rFonts w:ascii="宋体" w:hAnsi="宋体" w:hint="eastAsia"/>
              </w:rPr>
              <w:t>0.01</w:t>
            </w:r>
            <w:r w:rsidRPr="00BE0AF9">
              <w:rPr>
                <w:rFonts w:ascii="宋体" w:hAnsi="宋体"/>
              </w:rPr>
              <w:t>%</w:t>
            </w:r>
          </w:p>
        </w:tc>
        <w:tc>
          <w:tcPr>
            <w:tcW w:w="1033" w:type="dxa"/>
            <w:vAlign w:val="center"/>
          </w:tcPr>
          <w:p w:rsidR="00BE0AF9" w:rsidRPr="00BE0AF9" w:rsidRDefault="00BE0AF9" w:rsidP="00BE0AF9">
            <w:pPr>
              <w:jc w:val="center"/>
              <w:rPr>
                <w:rFonts w:ascii="宋体" w:hAnsi="宋体"/>
              </w:rPr>
            </w:pPr>
            <w:r>
              <w:rPr>
                <w:rFonts w:ascii="宋体" w:hAnsi="宋体" w:hint="eastAsia"/>
              </w:rPr>
              <w:t>-0.86</w:t>
            </w:r>
            <w:r w:rsidRPr="00BE0AF9">
              <w:rPr>
                <w:rFonts w:ascii="宋体" w:hAnsi="宋体"/>
              </w:rPr>
              <w:t>%</w:t>
            </w:r>
          </w:p>
        </w:tc>
        <w:tc>
          <w:tcPr>
            <w:tcW w:w="1096" w:type="dxa"/>
            <w:vAlign w:val="center"/>
          </w:tcPr>
          <w:p w:rsidR="00BE0AF9" w:rsidRPr="00BE0AF9" w:rsidRDefault="00BE0AF9" w:rsidP="00BE0AF9">
            <w:pPr>
              <w:jc w:val="center"/>
              <w:rPr>
                <w:rFonts w:ascii="宋体" w:hAnsi="宋体"/>
              </w:rPr>
            </w:pPr>
            <w:r>
              <w:rPr>
                <w:rFonts w:ascii="宋体" w:hAnsi="宋体" w:hint="eastAsia"/>
              </w:rPr>
              <w:t>0.00</w:t>
            </w:r>
            <w:r w:rsidRPr="00BE0AF9">
              <w:rPr>
                <w:rFonts w:ascii="宋体" w:hAnsi="宋体"/>
              </w:rPr>
              <w:t>%</w:t>
            </w:r>
          </w:p>
        </w:tc>
      </w:tr>
    </w:tbl>
    <w:bookmarkEnd w:id="258"/>
    <w:p w:rsidR="00822B64" w:rsidRDefault="00E92BF7">
      <w:pPr>
        <w:pStyle w:val="XBRLTitle3"/>
        <w:numPr>
          <w:ilvl w:val="0"/>
          <w:numId w:val="0"/>
        </w:numPr>
        <w:spacing w:beforeLines="0" w:afterLines="0" w:line="360" w:lineRule="auto"/>
        <w:rPr>
          <w:rFonts w:ascii="宋体" w:eastAsia="宋体" w:hAnsi="宋体" w:cs="宋体"/>
          <w:bCs w:val="0"/>
          <w:kern w:val="2"/>
          <w:sz w:val="21"/>
          <w:szCs w:val="21"/>
        </w:rPr>
      </w:pPr>
      <w:r>
        <w:rPr>
          <w:rFonts w:ascii="宋体" w:eastAsia="宋体" w:hAnsi="宋体" w:cs="宋体" w:hint="eastAsia"/>
          <w:bCs w:val="0"/>
          <w:kern w:val="2"/>
          <w:sz w:val="21"/>
          <w:szCs w:val="21"/>
        </w:rPr>
        <w:t>二、自基金合同生效以来基金累计净值增长率变动及其与同期业绩比较基准收益率变动的比较</w:t>
      </w:r>
    </w:p>
    <w:p w:rsidR="00822B64" w:rsidRDefault="00E706CD">
      <w:pPr>
        <w:spacing w:line="360" w:lineRule="auto"/>
        <w:jc w:val="center"/>
        <w:rPr>
          <w:rFonts w:ascii="宋体" w:cs="宋体"/>
          <w:kern w:val="0"/>
        </w:rPr>
      </w:pPr>
      <w:r>
        <w:rPr>
          <w:rFonts w:ascii="宋体" w:hAnsi="宋体"/>
          <w:noProof/>
        </w:rPr>
        <w:drawing>
          <wp:inline distT="0" distB="0" distL="0" distR="0" wp14:anchorId="21425C98" wp14:editId="09E6FC21">
            <wp:extent cx="5231765" cy="3005455"/>
            <wp:effectExtent l="0" t="0" r="6985" b="4445"/>
            <wp:docPr id="1" name="图片 1" descr="CN_50790000_010794_FB030040_20230001.HTSXYLJJFEJZBDJYTQYJBJJZDBDBJTuMingCheng.NORMAL.0.sub_zjjhtsxyljjljjzzzlbdjqytqyjbjjzsylbddbj_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N_50790000_010794_FB030040_20230001.HTSXYLJJFEJZBDJYTQYJBJJZDBDBJTuMingCheng.NORMAL.0.sub_zjjhtsxyljjljjzzzlbdjqytqyjbjjzsylbddbj_q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31765" cy="3005455"/>
                    </a:xfrm>
                    <a:prstGeom prst="rect">
                      <a:avLst/>
                    </a:prstGeom>
                    <a:noFill/>
                    <a:ln>
                      <a:noFill/>
                    </a:ln>
                  </pic:spPr>
                </pic:pic>
              </a:graphicData>
            </a:graphic>
          </wp:inline>
        </w:drawing>
      </w:r>
    </w:p>
    <w:p w:rsidR="00822B64" w:rsidRDefault="00E92BF7" w:rsidP="00E706CD">
      <w:pPr>
        <w:snapToGrid w:val="0"/>
        <w:spacing w:line="360" w:lineRule="auto"/>
        <w:rPr>
          <w:rFonts w:ascii="宋体" w:hAnsi="宋体"/>
          <w:bCs/>
          <w:szCs w:val="21"/>
        </w:rPr>
      </w:pPr>
      <w:r>
        <w:rPr>
          <w:rFonts w:ascii="宋体" w:hAnsi="宋体" w:hint="eastAsia"/>
          <w:bCs/>
          <w:szCs w:val="21"/>
        </w:rPr>
        <w:t>注：</w:t>
      </w:r>
      <w:r w:rsidR="00E706CD">
        <w:rPr>
          <w:rFonts w:ascii="宋体" w:hAnsi="宋体" w:hint="eastAsia"/>
          <w:lang w:eastAsia="zh-Hans"/>
        </w:rPr>
        <w:t>本基金合同生效日为2021年7月19日,图示日期为2021年7月19日至2022年12月31日。</w:t>
      </w:r>
    </w:p>
    <w:p w:rsidR="00822B64" w:rsidRDefault="00E92BF7">
      <w:pPr>
        <w:pStyle w:val="21"/>
        <w:numPr>
          <w:ilvl w:val="0"/>
          <w:numId w:val="28"/>
        </w:numPr>
        <w:snapToGrid w:val="0"/>
        <w:spacing w:before="0" w:after="0" w:line="360" w:lineRule="auto"/>
        <w:jc w:val="left"/>
        <w:rPr>
          <w:rFonts w:ascii="宋体" w:eastAsia="宋体" w:hAnsi="宋体"/>
        </w:rPr>
      </w:pPr>
      <w:r>
        <w:rPr>
          <w:rFonts w:ascii="宋体" w:eastAsia="宋体" w:hAnsi="宋体" w:hint="eastAsia"/>
        </w:rPr>
        <w:lastRenderedPageBreak/>
        <w:t>基金的财产</w:t>
      </w:r>
      <w:bookmarkEnd w:id="250"/>
      <w:bookmarkEnd w:id="251"/>
      <w:bookmarkEnd w:id="252"/>
      <w:bookmarkEnd w:id="253"/>
      <w:bookmarkEnd w:id="254"/>
      <w:bookmarkEnd w:id="255"/>
      <w:bookmarkEnd w:id="256"/>
      <w:bookmarkEnd w:id="257"/>
    </w:p>
    <w:p w:rsidR="00822B64" w:rsidRDefault="00822B64">
      <w:pPr>
        <w:adjustRightInd w:val="0"/>
        <w:snapToGrid w:val="0"/>
        <w:spacing w:line="360" w:lineRule="auto"/>
        <w:ind w:left="420"/>
        <w:rPr>
          <w:rFonts w:ascii="宋体" w:hAnsi="宋体"/>
          <w:b/>
          <w:bCs/>
        </w:rPr>
      </w:pPr>
    </w:p>
    <w:p w:rsidR="00822B64" w:rsidRDefault="00E92BF7">
      <w:pPr>
        <w:adjustRightInd w:val="0"/>
        <w:snapToGrid w:val="0"/>
        <w:spacing w:line="360" w:lineRule="auto"/>
        <w:ind w:firstLineChars="196" w:firstLine="413"/>
        <w:rPr>
          <w:rFonts w:ascii="宋体" w:hAnsi="宋体"/>
          <w:b/>
          <w:bCs/>
        </w:rPr>
      </w:pPr>
      <w:r>
        <w:rPr>
          <w:rFonts w:ascii="宋体" w:hAnsi="宋体" w:hint="eastAsia"/>
          <w:b/>
          <w:bCs/>
        </w:rPr>
        <w:t>一、基金资产总值</w:t>
      </w:r>
    </w:p>
    <w:p w:rsidR="00822B64" w:rsidRDefault="00E92BF7">
      <w:pPr>
        <w:adjustRightInd w:val="0"/>
        <w:snapToGrid w:val="0"/>
        <w:spacing w:line="360" w:lineRule="auto"/>
        <w:ind w:firstLineChars="196" w:firstLine="412"/>
        <w:rPr>
          <w:rFonts w:ascii="宋体" w:hAnsi="宋体"/>
          <w:bCs/>
          <w:szCs w:val="21"/>
        </w:rPr>
      </w:pPr>
      <w:r>
        <w:rPr>
          <w:rFonts w:ascii="宋体" w:hAnsi="宋体"/>
          <w:bCs/>
          <w:szCs w:val="21"/>
        </w:rPr>
        <w:t>基金资产总值是指</w:t>
      </w:r>
      <w:r>
        <w:rPr>
          <w:rFonts w:ascii="宋体" w:hAnsi="宋体" w:hint="eastAsia"/>
          <w:bCs/>
          <w:szCs w:val="21"/>
        </w:rPr>
        <w:t>购买的各类证券及票据价值、</w:t>
      </w:r>
      <w:r>
        <w:rPr>
          <w:rFonts w:ascii="宋体" w:hAnsi="宋体"/>
          <w:bCs/>
          <w:szCs w:val="21"/>
        </w:rPr>
        <w:t>银行存款本息和基金</w:t>
      </w:r>
      <w:r>
        <w:rPr>
          <w:rFonts w:ascii="宋体" w:hAnsi="宋体" w:hint="eastAsia"/>
          <w:bCs/>
          <w:szCs w:val="21"/>
        </w:rPr>
        <w:t>应收款项以及其他投资所形成的</w:t>
      </w:r>
      <w:r>
        <w:rPr>
          <w:rFonts w:ascii="宋体" w:hAnsi="宋体"/>
          <w:bCs/>
          <w:szCs w:val="21"/>
        </w:rPr>
        <w:t>价值总和。</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bCs/>
        </w:rPr>
      </w:pPr>
      <w:r>
        <w:rPr>
          <w:rFonts w:ascii="宋体" w:hAnsi="宋体" w:hint="eastAsia"/>
          <w:b/>
          <w:bCs/>
        </w:rPr>
        <w:t>二、基金资产净值</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基金资产净值是指基金资产总值减去基金负债后的价值。</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bCs/>
        </w:rPr>
      </w:pPr>
      <w:r>
        <w:rPr>
          <w:rFonts w:ascii="宋体" w:hAnsi="宋体" w:hint="eastAsia"/>
          <w:b/>
          <w:bCs/>
        </w:rPr>
        <w:t>三、基金财产的账户</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基金托管人根据相关法律法规、规范性文件为本基金开立资金</w:t>
      </w:r>
      <w:r>
        <w:rPr>
          <w:rFonts w:ascii="宋体" w:hAnsi="宋体" w:hint="eastAsia"/>
          <w:bCs/>
          <w:szCs w:val="21"/>
        </w:rPr>
        <w:t>账户</w:t>
      </w:r>
      <w:r>
        <w:rPr>
          <w:rFonts w:ascii="宋体" w:hAnsi="宋体"/>
          <w:bCs/>
          <w:szCs w:val="21"/>
        </w:rPr>
        <w:t>、证券</w:t>
      </w:r>
      <w:r>
        <w:rPr>
          <w:rFonts w:ascii="宋体" w:hAnsi="宋体" w:hint="eastAsia"/>
          <w:bCs/>
          <w:szCs w:val="21"/>
        </w:rPr>
        <w:t>账户</w:t>
      </w:r>
      <w:r>
        <w:rPr>
          <w:rFonts w:ascii="宋体" w:hAnsi="宋体"/>
          <w:bCs/>
          <w:szCs w:val="21"/>
        </w:rPr>
        <w:t>以及投资所需的其他专用</w:t>
      </w:r>
      <w:r>
        <w:rPr>
          <w:rFonts w:ascii="宋体" w:hAnsi="宋体" w:hint="eastAsia"/>
          <w:bCs/>
          <w:szCs w:val="21"/>
        </w:rPr>
        <w:t>账户</w:t>
      </w:r>
      <w:r>
        <w:rPr>
          <w:rFonts w:ascii="宋体" w:hAnsi="宋体"/>
          <w:bCs/>
          <w:szCs w:val="21"/>
        </w:rPr>
        <w:t>。开立的基金专用账户与基金管理人、基金托管人、基金销售机构和基金登记机构自有的财产账户以及其他基金财产账户相独立。</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bCs/>
        </w:rPr>
      </w:pPr>
      <w:r>
        <w:rPr>
          <w:rFonts w:ascii="宋体" w:hAnsi="宋体" w:hint="eastAsia"/>
          <w:b/>
          <w:bCs/>
        </w:rPr>
        <w:t>四、基金财产的保管和处分</w:t>
      </w:r>
    </w:p>
    <w:p w:rsidR="00822B64" w:rsidRDefault="00E92BF7">
      <w:pPr>
        <w:snapToGrid w:val="0"/>
        <w:spacing w:line="360" w:lineRule="auto"/>
        <w:ind w:firstLineChars="200" w:firstLine="420"/>
        <w:rPr>
          <w:rFonts w:ascii="宋体" w:hAnsi="宋体"/>
          <w:bCs/>
          <w:szCs w:val="21"/>
        </w:rPr>
      </w:pPr>
      <w:r>
        <w:rPr>
          <w:rFonts w:ascii="宋体" w:hAnsi="宋体"/>
          <w:bCs/>
          <w:szCs w:val="21"/>
        </w:rPr>
        <w:t>本基金财产独立于基金管理人、基金托管人和基金</w:t>
      </w:r>
      <w:r>
        <w:rPr>
          <w:rFonts w:ascii="宋体" w:hAnsi="宋体" w:hint="eastAsia"/>
          <w:bCs/>
          <w:szCs w:val="21"/>
        </w:rPr>
        <w:t>销售</w:t>
      </w:r>
      <w:r>
        <w:rPr>
          <w:rFonts w:ascii="宋体" w:hAnsi="宋体"/>
          <w:bCs/>
          <w:szCs w:val="21"/>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rsidR="00822B64" w:rsidRDefault="00822B64">
      <w:pPr>
        <w:snapToGrid w:val="0"/>
        <w:spacing w:line="360" w:lineRule="auto"/>
        <w:ind w:firstLineChars="200" w:firstLine="420"/>
        <w:rPr>
          <w:rFonts w:ascii="宋体" w:hAnsi="宋体"/>
        </w:rPr>
      </w:pPr>
    </w:p>
    <w:p w:rsidR="00822B64" w:rsidRDefault="00E92BF7">
      <w:pPr>
        <w:pStyle w:val="ab"/>
        <w:snapToGrid w:val="0"/>
        <w:spacing w:line="360" w:lineRule="auto"/>
        <w:ind w:firstLineChars="200"/>
        <w:rPr>
          <w:rFonts w:ascii="宋体" w:hAnsi="宋体"/>
          <w:szCs w:val="23"/>
        </w:rPr>
      </w:pPr>
      <w:r>
        <w:rPr>
          <w:rFonts w:ascii="宋体" w:hAnsi="宋体"/>
          <w:kern w:val="0"/>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59" w:name="_Toc360793855"/>
      <w:bookmarkStart w:id="260" w:name="_Toc360794105"/>
      <w:bookmarkStart w:id="261" w:name="_Toc360794521"/>
      <w:bookmarkStart w:id="262" w:name="_Toc48808889"/>
      <w:bookmarkStart w:id="263" w:name="_Toc362455188"/>
      <w:bookmarkStart w:id="264" w:name="_Toc360793503"/>
      <w:bookmarkStart w:id="265" w:name="_Toc360794413"/>
      <w:bookmarkStart w:id="266" w:name="_Toc362533460"/>
      <w:r>
        <w:rPr>
          <w:rFonts w:ascii="宋体" w:eastAsia="宋体" w:hAnsi="宋体" w:hint="eastAsia"/>
        </w:rPr>
        <w:lastRenderedPageBreak/>
        <w:t>基金资产估值</w:t>
      </w:r>
      <w:bookmarkEnd w:id="259"/>
      <w:bookmarkEnd w:id="260"/>
      <w:bookmarkEnd w:id="261"/>
      <w:bookmarkEnd w:id="262"/>
      <w:bookmarkEnd w:id="263"/>
      <w:bookmarkEnd w:id="264"/>
      <w:bookmarkEnd w:id="265"/>
      <w:bookmarkEnd w:id="266"/>
    </w:p>
    <w:p w:rsidR="00822B64" w:rsidRDefault="00822B64">
      <w:pPr>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一、估值日</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本基金的估值日为本基金相关的证券交易场所的交易日以及国家法律法规规定需要对外披露基金净值的非交易日。</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二、估值对象</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基金所拥有的债券</w:t>
      </w:r>
      <w:r>
        <w:rPr>
          <w:rFonts w:ascii="宋体" w:hAnsi="宋体" w:hint="eastAsia"/>
          <w:bCs/>
          <w:szCs w:val="21"/>
        </w:rPr>
        <w:t>、资产支持证券</w:t>
      </w:r>
      <w:r>
        <w:rPr>
          <w:rFonts w:ascii="宋体" w:hAnsi="宋体"/>
          <w:bCs/>
          <w:szCs w:val="21"/>
        </w:rPr>
        <w:t>和银行存款本息、应收款项、其它投资等资产及负债。</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Cs/>
          <w:szCs w:val="21"/>
        </w:rPr>
      </w:pPr>
      <w:r>
        <w:rPr>
          <w:rFonts w:ascii="宋体" w:hAnsi="宋体" w:hint="eastAsia"/>
          <w:b/>
          <w:szCs w:val="21"/>
        </w:rPr>
        <w:t>三、估值方法</w:t>
      </w:r>
    </w:p>
    <w:p w:rsidR="00822B64" w:rsidRDefault="00E92BF7">
      <w:pPr>
        <w:adjustRightInd w:val="0"/>
        <w:snapToGrid w:val="0"/>
        <w:spacing w:line="360" w:lineRule="auto"/>
        <w:ind w:firstLineChars="200" w:firstLine="420"/>
        <w:rPr>
          <w:rFonts w:ascii="宋体" w:hAnsi="宋体"/>
          <w:bCs/>
          <w:szCs w:val="21"/>
        </w:rPr>
      </w:pPr>
      <w:bookmarkStart w:id="267" w:name="_Hlk45822646"/>
      <w:r>
        <w:rPr>
          <w:rFonts w:ascii="宋体" w:hAnsi="宋体" w:hint="eastAsia"/>
          <w:bCs/>
          <w:szCs w:val="21"/>
        </w:rPr>
        <w:t>1、本基金估值采用摊余成本法，即估值对象以买入成本列示，按票面利率或协议利率并考虑其买入时的溢价与折价，在其剩余期限内按实际利率法进行摊销，确认利息收入并评估减值准备。本基金不采用市场利率和上市交易的债券和票据的市价计算基金资产净值。</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2、债券回购以协议成本列示，按协议利率在实际持有期内逐日计提利息。</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3、持有的银行定期存款或通知存款以本金列示，根据存款协议列示的利息总额或约定利率每自然日计提利息。如提前支取或利率发生变化，则按需进行账务调整。</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4、如有确凿证据表明本基金在封闭期内买入持有至到期的投资策略发生变化或其他原因，导致按原有摊余成本法估值不能客观反映上述资产或负债于开放期内的公允价值的，基金管理人可根据具体情况与基金托管人商定后，按最能反映上述资产或负债于开放期内的公允价值的方法估值。为最大限度保护基金份额持有人利益，基金管理人可采用的风险控制手段包括但不限于：处置信用风险显著增加的固定收益品种、及时评估和计提固定收益品种减值损失、封闭期到期暂停进入下一开放期、于开放期内改按公允价值计算基金份额净值等。</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5、当发生大额申购或赎回情形时，基金管理人可以采用摆动定价机制，以确保基金估值的公平性。</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6、基金应当按照企业会计准则的要求，评估金融资产是否发生减值，如有客观证据表明其发生减值的，应当计提减值准备。</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7、相关法律法规以及监管部门有强制规定的，从其规定。如有新增事项，按国家最新规定估值。</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根据有关法律法规，基金资产净值计算和基金会计核算的义务由基金管理人承担。本基金的基金会计责任方由基金管理人担任，因此，就与本基金有关的会计问题，如经相关各方</w:t>
      </w:r>
      <w:r>
        <w:rPr>
          <w:rFonts w:ascii="宋体" w:hAnsi="宋体" w:hint="eastAsia"/>
          <w:bCs/>
          <w:szCs w:val="21"/>
        </w:rPr>
        <w:lastRenderedPageBreak/>
        <w:t>在平等基础上充分讨论后，仍无法达成一致的意见，按照基金管理人对基金净值信息的计算结果对外予以公布。</w:t>
      </w:r>
    </w:p>
    <w:bookmarkEnd w:id="267"/>
    <w:p w:rsidR="00822B64" w:rsidRDefault="00822B64">
      <w:pPr>
        <w:adjustRightInd w:val="0"/>
        <w:snapToGrid w:val="0"/>
        <w:spacing w:line="360" w:lineRule="auto"/>
        <w:ind w:firstLineChars="200" w:firstLine="422"/>
        <w:rPr>
          <w:rFonts w:ascii="宋体" w:hAnsi="宋体"/>
          <w:b/>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四、估值程序</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1、基金份额净值是按照每个工作日闭市后，基金资产净值除以当日基金份额的余额数量计算，精确到</w:t>
      </w:r>
      <w:r>
        <w:rPr>
          <w:rFonts w:ascii="宋体" w:hAnsi="宋体" w:hint="eastAsia"/>
          <w:bCs/>
          <w:szCs w:val="21"/>
        </w:rPr>
        <w:t>0.0001</w:t>
      </w:r>
      <w:r>
        <w:rPr>
          <w:rFonts w:ascii="宋体" w:hAnsi="宋体"/>
          <w:bCs/>
          <w:szCs w:val="21"/>
        </w:rPr>
        <w:t>元，小数点后第</w:t>
      </w:r>
      <w:r>
        <w:rPr>
          <w:rFonts w:ascii="宋体" w:hAnsi="宋体" w:hint="eastAsia"/>
          <w:bCs/>
          <w:szCs w:val="21"/>
        </w:rPr>
        <w:t>5</w:t>
      </w:r>
      <w:r>
        <w:rPr>
          <w:rFonts w:ascii="宋体" w:hAnsi="宋体"/>
          <w:bCs/>
          <w:szCs w:val="21"/>
        </w:rPr>
        <w:t>位四舍五入。基金管理人可以设立大额赎回情形下的净值精度应急调整机制。国家及基金合同另有规定的，从其规定。</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基金管理人应</w:t>
      </w:r>
      <w:r>
        <w:rPr>
          <w:rFonts w:ascii="宋体" w:hAnsi="宋体"/>
          <w:bCs/>
          <w:szCs w:val="21"/>
        </w:rPr>
        <w:t>每个</w:t>
      </w:r>
      <w:r>
        <w:rPr>
          <w:rFonts w:ascii="宋体" w:hAnsi="宋体" w:hint="eastAsia"/>
          <w:bCs/>
          <w:szCs w:val="21"/>
        </w:rPr>
        <w:t>工作</w:t>
      </w:r>
      <w:r>
        <w:rPr>
          <w:rFonts w:ascii="宋体" w:hAnsi="宋体"/>
          <w:bCs/>
          <w:szCs w:val="21"/>
        </w:rPr>
        <w:t>日计算基金资产净值及基金份额净值，并按规定公告。</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2、基金管理人应每个</w:t>
      </w:r>
      <w:r>
        <w:rPr>
          <w:rFonts w:ascii="宋体" w:hAnsi="宋体" w:hint="eastAsia"/>
          <w:bCs/>
          <w:szCs w:val="21"/>
        </w:rPr>
        <w:t>工作</w:t>
      </w:r>
      <w:r>
        <w:rPr>
          <w:rFonts w:ascii="宋体" w:hAnsi="宋体"/>
          <w:bCs/>
          <w:szCs w:val="21"/>
        </w:rPr>
        <w:t>日对基金资产估值。但基金管理人根据法律法规或基金合同的规定暂停估值时除外。基金管理人每个工作日对基金资产估值后，将基金份额净值结果</w:t>
      </w:r>
      <w:r>
        <w:rPr>
          <w:rFonts w:ascii="宋体" w:hAnsi="宋体" w:hint="eastAsia"/>
          <w:bCs/>
          <w:szCs w:val="21"/>
        </w:rPr>
        <w:t>以双方认可的方式</w:t>
      </w:r>
      <w:r>
        <w:rPr>
          <w:rFonts w:ascii="宋体" w:hAnsi="宋体"/>
          <w:bCs/>
          <w:szCs w:val="21"/>
        </w:rPr>
        <w:t>发送基金托管人，经基金托管人复核无误后，</w:t>
      </w:r>
      <w:r>
        <w:rPr>
          <w:rFonts w:ascii="宋体" w:hAnsi="宋体" w:hint="eastAsia"/>
          <w:bCs/>
          <w:szCs w:val="21"/>
        </w:rPr>
        <w:t>以双方认可的方式发送给基金管理人，</w:t>
      </w:r>
      <w:r>
        <w:rPr>
          <w:rFonts w:ascii="宋体" w:hAnsi="宋体"/>
          <w:bCs/>
          <w:szCs w:val="21"/>
        </w:rPr>
        <w:t>由基金管理人按约定对外公布。</w:t>
      </w:r>
    </w:p>
    <w:p w:rsidR="00822B64" w:rsidRDefault="00822B64">
      <w:pPr>
        <w:spacing w:line="360" w:lineRule="auto"/>
        <w:ind w:firstLineChars="200" w:firstLine="480"/>
        <w:rPr>
          <w:rFonts w:ascii="宋体" w:hAnsi="宋体" w:cs="宋体"/>
          <w:bCs/>
          <w:sz w:val="24"/>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五、估值错误的处理</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基金管理人和基金托管人将采取必要、适当、合理的措施确保基金资产估值的准确性、及时性。当基金份额净值小数点后</w:t>
      </w:r>
      <w:r>
        <w:rPr>
          <w:rFonts w:ascii="宋体" w:hAnsi="宋体" w:hint="eastAsia"/>
          <w:bCs/>
          <w:szCs w:val="21"/>
        </w:rPr>
        <w:t>4</w:t>
      </w:r>
      <w:r>
        <w:rPr>
          <w:rFonts w:ascii="宋体" w:hAnsi="宋体"/>
          <w:bCs/>
          <w:szCs w:val="21"/>
        </w:rPr>
        <w:t>位以内</w:t>
      </w:r>
      <w:r>
        <w:rPr>
          <w:rFonts w:ascii="宋体" w:hAnsi="宋体" w:hint="eastAsia"/>
          <w:bCs/>
          <w:szCs w:val="21"/>
        </w:rPr>
        <w:t>（</w:t>
      </w:r>
      <w:r>
        <w:rPr>
          <w:rFonts w:ascii="宋体" w:hAnsi="宋体"/>
          <w:bCs/>
          <w:szCs w:val="21"/>
        </w:rPr>
        <w:t>含第</w:t>
      </w:r>
      <w:r>
        <w:rPr>
          <w:rFonts w:ascii="宋体" w:hAnsi="宋体" w:hint="eastAsia"/>
          <w:bCs/>
          <w:szCs w:val="21"/>
        </w:rPr>
        <w:t>4</w:t>
      </w:r>
      <w:r>
        <w:rPr>
          <w:rFonts w:ascii="宋体" w:hAnsi="宋体"/>
          <w:bCs/>
          <w:szCs w:val="21"/>
        </w:rPr>
        <w:t>位</w:t>
      </w:r>
      <w:r>
        <w:rPr>
          <w:rFonts w:ascii="宋体" w:hAnsi="宋体" w:hint="eastAsia"/>
          <w:bCs/>
          <w:szCs w:val="21"/>
        </w:rPr>
        <w:t>）</w:t>
      </w:r>
      <w:r>
        <w:rPr>
          <w:rFonts w:ascii="宋体" w:hAnsi="宋体"/>
          <w:bCs/>
          <w:szCs w:val="21"/>
        </w:rPr>
        <w:t>发生估值错误时，视为基金份额净值错误。</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基金合同的当事人应按照以下约定处理：</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1、估值错误类型</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宋体" w:hAnsi="宋体" w:hint="eastAsia"/>
          <w:bCs/>
          <w:szCs w:val="21"/>
        </w:rPr>
        <w:t>（“</w:t>
      </w:r>
      <w:r>
        <w:rPr>
          <w:rFonts w:ascii="宋体" w:hAnsi="宋体"/>
          <w:bCs/>
          <w:szCs w:val="21"/>
        </w:rPr>
        <w:t>受损方</w:t>
      </w:r>
      <w:r>
        <w:rPr>
          <w:rFonts w:ascii="宋体" w:hAnsi="宋体" w:hint="eastAsia"/>
          <w:bCs/>
          <w:szCs w:val="21"/>
        </w:rPr>
        <w:t>”）</w:t>
      </w:r>
      <w:r>
        <w:rPr>
          <w:rFonts w:ascii="宋体" w:hAnsi="宋体"/>
          <w:bCs/>
          <w:szCs w:val="21"/>
        </w:rPr>
        <w:t>的直接损失按下述</w:t>
      </w:r>
      <w:r>
        <w:rPr>
          <w:rFonts w:ascii="宋体" w:hAnsi="宋体" w:hint="eastAsia"/>
          <w:bCs/>
          <w:szCs w:val="21"/>
        </w:rPr>
        <w:t>“</w:t>
      </w:r>
      <w:r>
        <w:rPr>
          <w:rFonts w:ascii="宋体" w:hAnsi="宋体"/>
          <w:bCs/>
          <w:szCs w:val="21"/>
        </w:rPr>
        <w:t>估值错误处理原则</w:t>
      </w:r>
      <w:r>
        <w:rPr>
          <w:rFonts w:ascii="宋体" w:hAnsi="宋体" w:hint="eastAsia"/>
          <w:bCs/>
          <w:szCs w:val="21"/>
        </w:rPr>
        <w:t>”</w:t>
      </w:r>
      <w:r>
        <w:rPr>
          <w:rFonts w:ascii="宋体" w:hAnsi="宋体"/>
          <w:bCs/>
          <w:szCs w:val="21"/>
        </w:rPr>
        <w:t>给予赔偿，承担赔偿责任。</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上述估值错误的主要类型包括但不限于：资料申报差错、数据传输差错、数据计算差错、系统故障差错、下达指令差错等。</w:t>
      </w:r>
      <w:r>
        <w:rPr>
          <w:rFonts w:ascii="宋体" w:hAnsi="宋体" w:hint="eastAsia"/>
          <w:bCs/>
          <w:szCs w:val="21"/>
        </w:rPr>
        <w:t>对于因技术原因引起的差错，若系同行业现有技术水平不能预见、不能避免、不能克服，则属不可抗力，按照下述规定执行。</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2、估值错误处理原则</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w:t>
      </w:r>
      <w:r>
        <w:rPr>
          <w:rFonts w:ascii="宋体" w:hAnsi="宋体"/>
          <w:bCs/>
          <w:szCs w:val="21"/>
        </w:rPr>
        <w:lastRenderedPageBreak/>
        <w:t>未更正，则其应当承担相应赔偿责任。估值错误责任方应对更正的情况向有关当事人进行确认，确保估值错误已得到更正。</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2</w:t>
      </w:r>
      <w:r>
        <w:rPr>
          <w:rFonts w:ascii="宋体" w:hAnsi="宋体"/>
          <w:bCs/>
          <w:szCs w:val="21"/>
        </w:rPr>
        <w:t>）估值错误的责任方对有关当事人的直接损失负责，不对间接损失负责，并且仅对估值错误的有关直接当事人负责，不对第三方负责。</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3</w:t>
      </w:r>
      <w:r>
        <w:rPr>
          <w:rFonts w:ascii="宋体" w:hAnsi="宋体"/>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宋体" w:hAnsi="宋体" w:hint="eastAsia"/>
          <w:bCs/>
          <w:szCs w:val="21"/>
        </w:rPr>
        <w:t>（“</w:t>
      </w:r>
      <w:r>
        <w:rPr>
          <w:rFonts w:ascii="宋体" w:hAnsi="宋体"/>
          <w:bCs/>
          <w:szCs w:val="21"/>
        </w:rPr>
        <w:t>受损方</w:t>
      </w:r>
      <w:r>
        <w:rPr>
          <w:rFonts w:ascii="宋体" w:hAnsi="宋体" w:hint="eastAsia"/>
          <w:bCs/>
          <w:szCs w:val="21"/>
        </w:rPr>
        <w:t>”）</w:t>
      </w:r>
      <w:r>
        <w:rPr>
          <w:rFonts w:ascii="宋体" w:hAnsi="宋体"/>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4</w:t>
      </w:r>
      <w:r>
        <w:rPr>
          <w:rFonts w:ascii="宋体" w:hAnsi="宋体"/>
          <w:bCs/>
          <w:szCs w:val="21"/>
        </w:rPr>
        <w:t>）估值错误调整采用尽量恢复至假设未发生估值错误的正确情形的方式。</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3、估值错误处理程序</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估值错误被发现后，有关的当事人应当及时进行处理，处理的程序如下：</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（1）查明估值错误发生的原因，列明所有的当事人，并根据估值错误发生的原因确定估值错误的责任方；</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2</w:t>
      </w:r>
      <w:r>
        <w:rPr>
          <w:rFonts w:ascii="宋体" w:hAnsi="宋体"/>
          <w:bCs/>
          <w:szCs w:val="21"/>
        </w:rPr>
        <w:t>）根据估值错误处理原则或当事人协商的方法对因估值错误造成的损失进行评估；</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3</w:t>
      </w:r>
      <w:r>
        <w:rPr>
          <w:rFonts w:ascii="宋体" w:hAnsi="宋体"/>
          <w:bCs/>
          <w:szCs w:val="21"/>
        </w:rPr>
        <w:t>）根据估值错误处理原则或当事人协商的方法由估值错误的责任方进行更正和赔偿损失；</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4</w:t>
      </w:r>
      <w:r>
        <w:rPr>
          <w:rFonts w:ascii="宋体" w:hAnsi="宋体"/>
          <w:bCs/>
          <w:szCs w:val="21"/>
        </w:rPr>
        <w:t>）根据估值错误处理的方法，需要修改基金登记机构交易数据的，由基金登记机构进行更正，并就估值错误的更正向有关当事人进行确认。</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4、基金份额净值估值错误处理的方法如下：</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（1）基金份额净值计算出现错误时，基金管理人应当立即予以纠正，通报基金托管人，并采取合理的措施防止损失进一步扩大。</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2</w:t>
      </w:r>
      <w:r>
        <w:rPr>
          <w:rFonts w:ascii="宋体" w:hAnsi="宋体"/>
          <w:bCs/>
          <w:szCs w:val="21"/>
        </w:rPr>
        <w:t>）错误偏差达到基金份额净值的0.25%时，基金管理人应当通报基金托管人并报中国证监会备案；错误偏差达到基金份额净值的0.5%时，基金管理人应当公告</w:t>
      </w:r>
      <w:r>
        <w:rPr>
          <w:rFonts w:ascii="宋体" w:hAnsi="宋体" w:hint="eastAsia"/>
          <w:bCs/>
          <w:szCs w:val="21"/>
        </w:rPr>
        <w:t>，</w:t>
      </w:r>
      <w:r>
        <w:rPr>
          <w:rFonts w:ascii="宋体" w:hAnsi="宋体"/>
          <w:bCs/>
          <w:szCs w:val="21"/>
        </w:rPr>
        <w:t>并报中国证监会备案。</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3</w:t>
      </w:r>
      <w:r>
        <w:rPr>
          <w:rFonts w:ascii="宋体" w:hAnsi="宋体"/>
          <w:bCs/>
          <w:szCs w:val="21"/>
        </w:rPr>
        <w:t>）前述内容如法律法规或监管机关另有规定的，从其规定处理。</w:t>
      </w:r>
      <w:r>
        <w:rPr>
          <w:rFonts w:ascii="宋体" w:hAnsi="宋体" w:hint="eastAsia"/>
          <w:bCs/>
          <w:szCs w:val="21"/>
        </w:rPr>
        <w:t>如果行业有通行做法，基金管理人和基金托管人应本着平等和保护基金份额持有人利益的原则进行协商。</w:t>
      </w:r>
    </w:p>
    <w:p w:rsidR="00822B64" w:rsidRDefault="00822B64">
      <w:pPr>
        <w:adjustRightInd w:val="0"/>
        <w:snapToGrid w:val="0"/>
        <w:spacing w:line="360" w:lineRule="auto"/>
        <w:ind w:firstLineChars="200" w:firstLine="422"/>
        <w:rPr>
          <w:rFonts w:ascii="宋体" w:hAnsi="宋体"/>
          <w:b/>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六、暂停估值的情形</w:t>
      </w:r>
    </w:p>
    <w:p w:rsidR="00822B64" w:rsidRDefault="00E92BF7">
      <w:pPr>
        <w:adjustRightInd w:val="0"/>
        <w:snapToGrid w:val="0"/>
        <w:spacing w:line="360" w:lineRule="auto"/>
        <w:ind w:firstLine="420"/>
        <w:rPr>
          <w:rFonts w:ascii="宋体" w:hAnsi="宋体"/>
          <w:szCs w:val="21"/>
        </w:rPr>
      </w:pPr>
      <w:r>
        <w:rPr>
          <w:rFonts w:ascii="宋体" w:hAnsi="宋体"/>
          <w:szCs w:val="21"/>
        </w:rPr>
        <w:t>1、基金投资所涉及的证券交易市场遇法定节假日或因其他原因暂停营业时；</w:t>
      </w:r>
    </w:p>
    <w:p w:rsidR="00822B64" w:rsidRDefault="00E92BF7">
      <w:pPr>
        <w:adjustRightInd w:val="0"/>
        <w:snapToGrid w:val="0"/>
        <w:spacing w:line="360" w:lineRule="auto"/>
        <w:ind w:firstLine="420"/>
        <w:rPr>
          <w:rFonts w:ascii="宋体" w:hAnsi="宋体"/>
          <w:szCs w:val="21"/>
        </w:rPr>
      </w:pPr>
      <w:r>
        <w:rPr>
          <w:rFonts w:ascii="宋体" w:hAnsi="宋体"/>
          <w:szCs w:val="21"/>
        </w:rPr>
        <w:t>2、因不可抗力致使基金管理人、基金托管人无法准确评估基金资产价值时；</w:t>
      </w:r>
    </w:p>
    <w:p w:rsidR="00822B64" w:rsidRDefault="00E92BF7">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bCs/>
          <w:szCs w:val="21"/>
        </w:rPr>
        <w:t>当特定资产占前一估值日基金资产净值50%以上的，经与基金托管人协商确认后，</w:t>
      </w:r>
      <w:r>
        <w:rPr>
          <w:rFonts w:ascii="宋体" w:hAnsi="宋体" w:hint="eastAsia"/>
          <w:bCs/>
          <w:szCs w:val="21"/>
        </w:rPr>
        <w:lastRenderedPageBreak/>
        <w:t>基金管理人应当暂停估值；</w:t>
      </w:r>
      <w:r>
        <w:rPr>
          <w:rFonts w:ascii="宋体" w:hAnsi="宋体"/>
          <w:szCs w:val="21"/>
        </w:rPr>
        <w:t>4</w:t>
      </w:r>
      <w:r>
        <w:rPr>
          <w:rFonts w:ascii="宋体" w:hAnsi="宋体" w:hint="eastAsia"/>
          <w:szCs w:val="21"/>
        </w:rPr>
        <w:t>、中国证监会和《基金合同》认定的其它情形。</w:t>
      </w:r>
    </w:p>
    <w:p w:rsidR="00822B64" w:rsidRDefault="00822B64">
      <w:pPr>
        <w:spacing w:line="360" w:lineRule="auto"/>
        <w:ind w:firstLineChars="200" w:firstLine="480"/>
        <w:rPr>
          <w:rFonts w:ascii="宋体" w:hAnsi="宋体" w:cs="宋体"/>
          <w:bCs/>
          <w:sz w:val="24"/>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七、基金净值的确认</w:t>
      </w:r>
    </w:p>
    <w:p w:rsidR="00822B64" w:rsidRDefault="00E92BF7">
      <w:pPr>
        <w:adjustRightInd w:val="0"/>
        <w:snapToGrid w:val="0"/>
        <w:spacing w:line="360" w:lineRule="auto"/>
        <w:ind w:firstLineChars="200" w:firstLine="420"/>
        <w:rPr>
          <w:rFonts w:ascii="宋体" w:hAnsi="宋体"/>
          <w:szCs w:val="21"/>
        </w:rPr>
      </w:pPr>
      <w:r>
        <w:rPr>
          <w:rFonts w:ascii="宋体" w:hAnsi="宋体"/>
          <w:bCs/>
          <w:szCs w:val="21"/>
        </w:rPr>
        <w:t>基金资产净值和基金份额净值由基金管理人负责计算，基金托管人负责进行复核。基金管理人应于</w:t>
      </w:r>
      <w:r>
        <w:rPr>
          <w:rFonts w:ascii="宋体" w:hAnsi="宋体" w:hint="eastAsia"/>
          <w:bCs/>
          <w:szCs w:val="21"/>
        </w:rPr>
        <w:t>每个工作日交易结束后</w:t>
      </w:r>
      <w:r>
        <w:rPr>
          <w:rFonts w:ascii="宋体" w:hAnsi="宋体"/>
          <w:bCs/>
          <w:szCs w:val="21"/>
        </w:rPr>
        <w:t>计算当日的基金资产净值和基金份额净值并发送给基金托管人。基金托管人对净值计算结果复核确认后发送给基金管理人，</w:t>
      </w:r>
      <w:r>
        <w:rPr>
          <w:rFonts w:ascii="宋体" w:hAnsi="宋体" w:hint="eastAsia"/>
          <w:szCs w:val="21"/>
        </w:rPr>
        <w:t>由</w:t>
      </w:r>
      <w:r>
        <w:rPr>
          <w:rFonts w:ascii="宋体" w:hAnsi="宋体"/>
          <w:szCs w:val="21"/>
        </w:rPr>
        <w:t>基金管理人</w:t>
      </w:r>
      <w:r>
        <w:rPr>
          <w:rFonts w:ascii="宋体" w:hAnsi="宋体" w:hint="eastAsia"/>
          <w:szCs w:val="21"/>
        </w:rPr>
        <w:t>按约定</w:t>
      </w:r>
      <w:r>
        <w:rPr>
          <w:rFonts w:ascii="宋体" w:hAnsi="宋体"/>
          <w:szCs w:val="21"/>
        </w:rPr>
        <w:t>对基金净值</w:t>
      </w:r>
      <w:r>
        <w:rPr>
          <w:rFonts w:ascii="宋体" w:hAnsi="宋体" w:hint="eastAsia"/>
          <w:szCs w:val="21"/>
        </w:rPr>
        <w:t>信息</w:t>
      </w:r>
      <w:r>
        <w:rPr>
          <w:rFonts w:ascii="宋体" w:hAnsi="宋体"/>
          <w:szCs w:val="21"/>
        </w:rPr>
        <w:t>予以公布。</w:t>
      </w:r>
    </w:p>
    <w:p w:rsidR="00822B64" w:rsidRDefault="00822B64">
      <w:pPr>
        <w:spacing w:line="360" w:lineRule="auto"/>
        <w:ind w:firstLineChars="200" w:firstLine="480"/>
        <w:rPr>
          <w:rFonts w:ascii="宋体" w:hAnsi="宋体" w:cs="宋体"/>
          <w:bCs/>
          <w:sz w:val="24"/>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八、特殊情况的处理方法</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1、基金管理人或基金托管人按估值方法的第</w:t>
      </w:r>
      <w:r>
        <w:rPr>
          <w:rFonts w:ascii="宋体" w:hAnsi="宋体"/>
          <w:bCs/>
          <w:szCs w:val="21"/>
        </w:rPr>
        <w:t>4</w:t>
      </w:r>
      <w:r>
        <w:rPr>
          <w:rFonts w:ascii="宋体" w:hAnsi="宋体" w:hint="eastAsia"/>
          <w:bCs/>
          <w:szCs w:val="21"/>
        </w:rPr>
        <w:t>项进行估值时，所造成的误差不作为基金资产估值错误处理。</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2、由于不可抗力原因，或由于证券交易所</w:t>
      </w:r>
      <w:r>
        <w:rPr>
          <w:rFonts w:ascii="宋体" w:hAnsi="宋体"/>
          <w:bCs/>
          <w:szCs w:val="21"/>
        </w:rPr>
        <w:t>及</w:t>
      </w:r>
      <w:r>
        <w:rPr>
          <w:rFonts w:ascii="宋体" w:hAnsi="宋体" w:hint="eastAsia"/>
          <w:bCs/>
          <w:szCs w:val="21"/>
        </w:rPr>
        <w:t>登记结算公司发送的数据错误等原因，基金管理人和基金托管人虽然已经采取必要、适当、合理的措施进行检查，但是未能发现该错误而造成的基金份额净值计算错误，基金管理人和基金托管人免除赔偿责任，但基金管理人、基金托管人应当积极采取必要的措施消除或减轻由此造成的影响。</w:t>
      </w:r>
    </w:p>
    <w:p w:rsidR="00822B64" w:rsidRDefault="00E92BF7">
      <w:pPr>
        <w:snapToGrid w:val="0"/>
        <w:spacing w:line="360" w:lineRule="auto"/>
        <w:ind w:firstLineChars="200" w:firstLine="422"/>
        <w:rPr>
          <w:b/>
          <w:szCs w:val="21"/>
        </w:rPr>
      </w:pPr>
      <w:r>
        <w:rPr>
          <w:rFonts w:hint="eastAsia"/>
          <w:b/>
          <w:szCs w:val="21"/>
        </w:rPr>
        <w:t>九、实施侧袋机制期间的基金资产估值</w:t>
      </w:r>
    </w:p>
    <w:p w:rsidR="00822B64" w:rsidRDefault="00E92BF7">
      <w:pPr>
        <w:snapToGrid w:val="0"/>
        <w:spacing w:line="360" w:lineRule="auto"/>
        <w:ind w:firstLineChars="200" w:firstLine="420"/>
        <w:rPr>
          <w:bCs/>
          <w:szCs w:val="21"/>
        </w:rPr>
      </w:pPr>
      <w:r>
        <w:rPr>
          <w:rFonts w:hint="eastAsia"/>
          <w:bCs/>
          <w:szCs w:val="21"/>
        </w:rPr>
        <w:t>本基金实施侧袋机制的，应根据本部分的约定对主袋账户资产进行估值并披露主袋账户的基金净值信息，暂停披露侧袋账户份额净值。</w:t>
      </w:r>
    </w:p>
    <w:p w:rsidR="00822B64" w:rsidRDefault="00822B64">
      <w:pPr>
        <w:snapToGrid w:val="0"/>
        <w:spacing w:line="360" w:lineRule="auto"/>
        <w:ind w:firstLineChars="200" w:firstLine="420"/>
        <w:rPr>
          <w:bCs/>
          <w:szCs w:val="21"/>
        </w:rPr>
      </w:pPr>
    </w:p>
    <w:p w:rsidR="00822B64" w:rsidRDefault="00E92BF7">
      <w:pPr>
        <w:snapToGrid w:val="0"/>
        <w:spacing w:line="360" w:lineRule="auto"/>
        <w:ind w:firstLineChars="200" w:firstLine="482"/>
        <w:rPr>
          <w:rFonts w:ascii="宋体" w:hAnsi="宋体"/>
        </w:rPr>
      </w:pPr>
      <w:r>
        <w:rPr>
          <w:rFonts w:ascii="宋体" w:hAnsi="宋体"/>
          <w:b/>
          <w:bCs/>
          <w:kern w:val="0"/>
          <w:sz w:val="24"/>
          <w:szCs w:val="21"/>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68" w:name="_Toc360794414"/>
      <w:bookmarkStart w:id="269" w:name="_Toc360794106"/>
      <w:bookmarkStart w:id="270" w:name="_Toc48808890"/>
      <w:bookmarkStart w:id="271" w:name="_Toc360794522"/>
      <w:bookmarkStart w:id="272" w:name="_Toc360793504"/>
      <w:bookmarkStart w:id="273" w:name="_Toc362455189"/>
      <w:bookmarkStart w:id="274" w:name="_Toc362533461"/>
      <w:bookmarkStart w:id="275" w:name="_Toc360793856"/>
      <w:r>
        <w:rPr>
          <w:rFonts w:ascii="宋体" w:eastAsia="宋体" w:hAnsi="宋体" w:hint="eastAsia"/>
        </w:rPr>
        <w:lastRenderedPageBreak/>
        <w:t>基金的收益与分配</w:t>
      </w:r>
      <w:bookmarkEnd w:id="268"/>
      <w:bookmarkEnd w:id="269"/>
      <w:bookmarkEnd w:id="270"/>
      <w:bookmarkEnd w:id="271"/>
      <w:bookmarkEnd w:id="272"/>
      <w:bookmarkEnd w:id="273"/>
      <w:bookmarkEnd w:id="274"/>
      <w:bookmarkEnd w:id="275"/>
    </w:p>
    <w:p w:rsidR="00822B64" w:rsidRDefault="00822B64">
      <w:pPr>
        <w:snapToGrid w:val="0"/>
        <w:spacing w:line="360" w:lineRule="auto"/>
        <w:ind w:firstLineChars="200" w:firstLine="422"/>
        <w:rPr>
          <w:rFonts w:ascii="宋体" w:hAnsi="宋体"/>
          <w:b/>
          <w:bCs/>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一、基金利润的构成</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基金利润指基金利息收入、投资收益、</w:t>
      </w:r>
      <w:r>
        <w:rPr>
          <w:rFonts w:ascii="宋体" w:hAnsi="宋体" w:hint="eastAsia"/>
          <w:bCs/>
          <w:szCs w:val="21"/>
        </w:rPr>
        <w:t>其他收入扣除资产减值损失</w:t>
      </w:r>
      <w:r>
        <w:rPr>
          <w:rFonts w:ascii="宋体" w:hAnsi="宋体"/>
          <w:bCs/>
          <w:szCs w:val="21"/>
        </w:rPr>
        <w:t>和相关费用后的余额，基金已实现收益</w:t>
      </w:r>
      <w:r>
        <w:rPr>
          <w:rFonts w:ascii="宋体" w:hAnsi="宋体" w:hint="eastAsia"/>
          <w:bCs/>
          <w:szCs w:val="21"/>
        </w:rPr>
        <w:t>与</w:t>
      </w:r>
      <w:r>
        <w:rPr>
          <w:rFonts w:ascii="宋体" w:hAnsi="宋体"/>
          <w:bCs/>
          <w:szCs w:val="21"/>
        </w:rPr>
        <w:t>基金利润</w:t>
      </w:r>
      <w:r>
        <w:rPr>
          <w:rFonts w:ascii="宋体" w:hAnsi="宋体" w:hint="eastAsia"/>
          <w:bCs/>
          <w:szCs w:val="21"/>
        </w:rPr>
        <w:t>一致</w:t>
      </w:r>
      <w:r>
        <w:rPr>
          <w:rFonts w:ascii="宋体" w:hAnsi="宋体"/>
          <w:bCs/>
          <w:szCs w:val="21"/>
        </w:rPr>
        <w:t>。</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二、基金可供分配利润</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基金可供分配利润指截至收益分配基准日基金未分配利润与未分配利润中已实现收益的孰低数。</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三、基金收益分配原则</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、在符合有关基金分红条件的前提下，本基金管理人可以根据实际情况进</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行收益分配，具体分配方案以公告为准，若《基金合同》生效不满 3 个月可不进行收益分配；</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2</w:t>
      </w:r>
      <w:r>
        <w:rPr>
          <w:rFonts w:ascii="宋体" w:hAnsi="宋体" w:hint="eastAsia"/>
          <w:bCs/>
          <w:szCs w:val="21"/>
        </w:rPr>
        <w:t>、本基金收益分配方式仅有现金分红；</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3</w:t>
      </w:r>
      <w:r>
        <w:rPr>
          <w:rFonts w:ascii="宋体" w:hAnsi="宋体"/>
          <w:bCs/>
          <w:szCs w:val="21"/>
        </w:rPr>
        <w:t>、基金收益分配后基金份额净值不能低于面值</w:t>
      </w:r>
      <w:r>
        <w:rPr>
          <w:rFonts w:ascii="宋体" w:hAnsi="宋体" w:hint="eastAsia"/>
          <w:bCs/>
          <w:szCs w:val="21"/>
        </w:rPr>
        <w:t>，</w:t>
      </w:r>
      <w:r>
        <w:rPr>
          <w:rFonts w:ascii="宋体" w:hAnsi="宋体"/>
          <w:bCs/>
          <w:szCs w:val="21"/>
        </w:rPr>
        <w:t>即基金收益分配基准日的基金份额净值减去每单位基金份额收益分配金额后不能低于面值</w:t>
      </w:r>
      <w:r>
        <w:rPr>
          <w:rFonts w:ascii="宋体" w:hAnsi="宋体" w:hint="eastAsia"/>
          <w:bCs/>
          <w:szCs w:val="21"/>
        </w:rPr>
        <w:t>；</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每一基金份额享有同等分配权；</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5</w:t>
      </w:r>
      <w:r>
        <w:rPr>
          <w:rFonts w:ascii="宋体" w:hAnsi="宋体"/>
          <w:bCs/>
          <w:szCs w:val="21"/>
        </w:rPr>
        <w:t>、法律法规或监管机关另有规定的，从其规定。</w:t>
      </w:r>
    </w:p>
    <w:p w:rsidR="00822B64" w:rsidRDefault="00E92BF7">
      <w:pPr>
        <w:adjustRightInd w:val="0"/>
        <w:snapToGrid w:val="0"/>
        <w:spacing w:line="360" w:lineRule="auto"/>
        <w:ind w:firstLineChars="200" w:firstLine="420"/>
        <w:rPr>
          <w:rFonts w:ascii="宋体" w:hAnsi="宋体"/>
          <w:bCs/>
          <w:szCs w:val="21"/>
        </w:rPr>
      </w:pPr>
      <w:r>
        <w:rPr>
          <w:rFonts w:ascii="宋体" w:hAnsi="宋体" w:hint="eastAsia"/>
          <w:bCs/>
          <w:szCs w:val="21"/>
        </w:rPr>
        <w:t>在符合法律法规及基金合同约定，并对基金份额持有人利益无实质不利影响的前提下，基金管理人经与基金托管人协商一致可对基金收益分配原则和支付方式进行调整，不需召开基金份额持有人大会。</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本基金每次收益分配比例详见届时基金管理人发布的公告。</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四、收益分配方案</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基金收益分配方案中应载明截止收益分配基准日的可供分配利润、基金收益分配对象、分配时间、分配数额及比例、分配方式等内容。</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五、收益分配方案的确定、公告与实施</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本基金收益分配方案由基金管理人拟定，并由基金托管人复核，</w:t>
      </w:r>
      <w:r>
        <w:rPr>
          <w:rFonts w:ascii="宋体" w:hAnsi="宋体" w:hint="eastAsia"/>
          <w:bCs/>
          <w:szCs w:val="21"/>
        </w:rPr>
        <w:t>在2日内</w:t>
      </w:r>
      <w:r>
        <w:rPr>
          <w:rFonts w:ascii="宋体" w:hAnsi="宋体"/>
          <w:bCs/>
          <w:szCs w:val="21"/>
        </w:rPr>
        <w:t>在规定媒介公告。</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六、基金收益分配中发生的费用</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lastRenderedPageBreak/>
        <w:t>基金收益分配时所发生的银行转账或其他手续费用由投资</w:t>
      </w:r>
      <w:r>
        <w:rPr>
          <w:rFonts w:ascii="宋体" w:hAnsi="宋体" w:hint="eastAsia"/>
          <w:bCs/>
          <w:szCs w:val="21"/>
        </w:rPr>
        <w:t>者</w:t>
      </w:r>
      <w:r>
        <w:rPr>
          <w:rFonts w:ascii="宋体" w:hAnsi="宋体"/>
          <w:bCs/>
          <w:szCs w:val="21"/>
        </w:rPr>
        <w:t>自行承担。当投资者的现金红利小于一定金额，不足</w:t>
      </w:r>
      <w:r>
        <w:rPr>
          <w:rFonts w:ascii="宋体" w:hAnsi="宋体" w:hint="eastAsia"/>
          <w:bCs/>
          <w:szCs w:val="21"/>
        </w:rPr>
        <w:t>以</w:t>
      </w:r>
      <w:r>
        <w:rPr>
          <w:rFonts w:ascii="宋体" w:hAnsi="宋体"/>
          <w:bCs/>
          <w:szCs w:val="21"/>
        </w:rPr>
        <w:t>支付银行转账或其他手续费用时，基金登记机构可将基金份额持有人的现金红利自动转为基金份额。红利再投资的计算方法，依照《业务规则》执行。</w:t>
      </w:r>
    </w:p>
    <w:p w:rsidR="00822B64" w:rsidRDefault="00822B64">
      <w:pPr>
        <w:snapToGrid w:val="0"/>
        <w:spacing w:line="360" w:lineRule="auto"/>
        <w:ind w:firstLineChars="225" w:firstLine="473"/>
        <w:rPr>
          <w:rFonts w:ascii="宋体" w:hAnsi="宋体"/>
          <w:bCs/>
          <w:szCs w:val="21"/>
        </w:rPr>
      </w:pPr>
    </w:p>
    <w:p w:rsidR="00822B64" w:rsidRDefault="00E92BF7">
      <w:pPr>
        <w:snapToGrid w:val="0"/>
        <w:spacing w:line="360" w:lineRule="auto"/>
        <w:ind w:firstLineChars="225" w:firstLine="474"/>
        <w:rPr>
          <w:rFonts w:ascii="宋体" w:hAnsi="宋体"/>
          <w:b/>
          <w:szCs w:val="21"/>
        </w:rPr>
      </w:pPr>
      <w:r>
        <w:rPr>
          <w:rFonts w:ascii="宋体" w:hAnsi="宋体" w:hint="eastAsia"/>
          <w:b/>
          <w:szCs w:val="21"/>
        </w:rPr>
        <w:t>七、实施侧袋机制期间的收益分配</w:t>
      </w:r>
    </w:p>
    <w:p w:rsidR="00822B64" w:rsidRDefault="00E92BF7">
      <w:pPr>
        <w:snapToGrid w:val="0"/>
        <w:spacing w:line="360" w:lineRule="auto"/>
        <w:ind w:firstLineChars="225" w:firstLine="473"/>
        <w:rPr>
          <w:rFonts w:ascii="宋体" w:hAnsi="宋体"/>
          <w:bCs/>
          <w:szCs w:val="21"/>
        </w:rPr>
      </w:pPr>
      <w:r>
        <w:rPr>
          <w:rFonts w:ascii="宋体" w:hAnsi="宋体" w:hint="eastAsia"/>
          <w:bCs/>
          <w:szCs w:val="21"/>
        </w:rPr>
        <w:t>本基金实施侧袋机制的，侧袋账户不进行收益分配。</w:t>
      </w:r>
    </w:p>
    <w:p w:rsidR="00822B64" w:rsidRDefault="00822B64">
      <w:pPr>
        <w:snapToGrid w:val="0"/>
        <w:spacing w:line="360" w:lineRule="auto"/>
        <w:ind w:firstLineChars="225" w:firstLine="473"/>
        <w:rPr>
          <w:rFonts w:ascii="宋体" w:hAnsi="宋体"/>
          <w:bCs/>
          <w:szCs w:val="21"/>
        </w:rPr>
      </w:pPr>
    </w:p>
    <w:p w:rsidR="00822B64" w:rsidRDefault="00E92BF7">
      <w:pPr>
        <w:snapToGrid w:val="0"/>
        <w:spacing w:line="360" w:lineRule="auto"/>
        <w:ind w:firstLineChars="200" w:firstLine="420"/>
        <w:rPr>
          <w:rFonts w:ascii="宋体" w:hAnsi="宋体"/>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76" w:name="_Toc360794523"/>
      <w:bookmarkStart w:id="277" w:name="_Toc360794107"/>
      <w:bookmarkStart w:id="278" w:name="_Toc360793857"/>
      <w:bookmarkStart w:id="279" w:name="_Toc362533462"/>
      <w:bookmarkStart w:id="280" w:name="_Toc360794415"/>
      <w:bookmarkStart w:id="281" w:name="_Toc48808891"/>
      <w:bookmarkStart w:id="282" w:name="_Toc360793505"/>
      <w:bookmarkStart w:id="283" w:name="_Toc362455190"/>
      <w:r>
        <w:rPr>
          <w:rFonts w:ascii="宋体" w:eastAsia="宋体" w:hAnsi="宋体" w:hint="eastAsia"/>
        </w:rPr>
        <w:lastRenderedPageBreak/>
        <w:t>基金的费用与税收</w:t>
      </w:r>
      <w:bookmarkEnd w:id="276"/>
      <w:bookmarkEnd w:id="277"/>
      <w:bookmarkEnd w:id="278"/>
      <w:bookmarkEnd w:id="279"/>
      <w:bookmarkEnd w:id="280"/>
      <w:bookmarkEnd w:id="281"/>
      <w:bookmarkEnd w:id="282"/>
      <w:bookmarkEnd w:id="283"/>
    </w:p>
    <w:p w:rsidR="00822B64" w:rsidRDefault="00822B64">
      <w:pPr>
        <w:snapToGrid w:val="0"/>
        <w:spacing w:line="360" w:lineRule="auto"/>
        <w:ind w:firstLineChars="200" w:firstLine="422"/>
        <w:rPr>
          <w:rFonts w:ascii="宋体" w:hAnsi="宋体"/>
          <w:b/>
        </w:rPr>
      </w:pPr>
    </w:p>
    <w:p w:rsidR="00822B64" w:rsidRDefault="00E92BF7">
      <w:pPr>
        <w:snapToGrid w:val="0"/>
        <w:spacing w:line="360" w:lineRule="auto"/>
        <w:ind w:firstLineChars="200" w:firstLine="422"/>
        <w:rPr>
          <w:rFonts w:ascii="宋体" w:hAnsi="宋体"/>
          <w:b/>
        </w:rPr>
      </w:pPr>
      <w:r>
        <w:rPr>
          <w:rFonts w:ascii="宋体" w:hAnsi="宋体" w:hint="eastAsia"/>
          <w:b/>
        </w:rPr>
        <w:t>一、基金费用的种类</w:t>
      </w:r>
    </w:p>
    <w:p w:rsidR="00822B64" w:rsidRDefault="00E92BF7">
      <w:pPr>
        <w:snapToGrid w:val="0"/>
        <w:spacing w:line="360" w:lineRule="auto"/>
        <w:ind w:firstLineChars="200" w:firstLine="420"/>
        <w:rPr>
          <w:rFonts w:ascii="宋体" w:hAnsi="宋体"/>
          <w:bCs/>
          <w:szCs w:val="21"/>
        </w:rPr>
      </w:pPr>
      <w:r>
        <w:rPr>
          <w:rFonts w:ascii="宋体" w:hAnsi="宋体"/>
          <w:bCs/>
          <w:szCs w:val="21"/>
        </w:rPr>
        <w:t>1、基金管理人的管理费；</w:t>
      </w:r>
    </w:p>
    <w:p w:rsidR="00822B64" w:rsidRDefault="00E92BF7">
      <w:pPr>
        <w:snapToGrid w:val="0"/>
        <w:spacing w:line="360" w:lineRule="auto"/>
        <w:ind w:firstLineChars="200" w:firstLine="420"/>
        <w:rPr>
          <w:rFonts w:ascii="宋体" w:hAnsi="宋体"/>
          <w:bCs/>
          <w:szCs w:val="21"/>
        </w:rPr>
      </w:pPr>
      <w:r>
        <w:rPr>
          <w:rFonts w:ascii="宋体" w:hAnsi="宋体"/>
          <w:bCs/>
          <w:szCs w:val="21"/>
        </w:rPr>
        <w:t>2、基金托管人的托管费；</w:t>
      </w:r>
    </w:p>
    <w:p w:rsidR="00822B64" w:rsidRDefault="00E92BF7">
      <w:pPr>
        <w:snapToGrid w:val="0"/>
        <w:spacing w:line="360" w:lineRule="auto"/>
        <w:ind w:firstLineChars="200" w:firstLine="420"/>
        <w:rPr>
          <w:rFonts w:ascii="宋体" w:hAnsi="宋体"/>
          <w:bCs/>
          <w:szCs w:val="21"/>
        </w:rPr>
      </w:pPr>
      <w:r>
        <w:rPr>
          <w:rFonts w:ascii="宋体" w:hAnsi="宋体"/>
          <w:bCs/>
          <w:szCs w:val="21"/>
        </w:rPr>
        <w:t>3、《基金合同》生效后与基金相关的信息披露费用；</w:t>
      </w:r>
    </w:p>
    <w:p w:rsidR="00822B64" w:rsidRDefault="00E92BF7">
      <w:pPr>
        <w:snapToGrid w:val="0"/>
        <w:spacing w:line="360" w:lineRule="auto"/>
        <w:ind w:firstLineChars="200" w:firstLine="420"/>
        <w:rPr>
          <w:rFonts w:ascii="宋体" w:hAnsi="宋体"/>
          <w:bCs/>
          <w:szCs w:val="21"/>
        </w:rPr>
      </w:pPr>
      <w:r>
        <w:rPr>
          <w:rFonts w:ascii="宋体" w:hAnsi="宋体"/>
          <w:bCs/>
          <w:szCs w:val="21"/>
        </w:rPr>
        <w:t>4、《基金合同》生效后与基金相关的会计师费、律师费</w:t>
      </w:r>
      <w:r>
        <w:rPr>
          <w:rFonts w:ascii="宋体" w:hAnsi="宋体" w:hint="eastAsia"/>
          <w:bCs/>
          <w:szCs w:val="21"/>
        </w:rPr>
        <w:t>、</w:t>
      </w:r>
      <w:r>
        <w:rPr>
          <w:rFonts w:ascii="宋体" w:hAnsi="宋体"/>
          <w:bCs/>
          <w:szCs w:val="21"/>
        </w:rPr>
        <w:t>诉讼费</w:t>
      </w:r>
      <w:r>
        <w:rPr>
          <w:rFonts w:ascii="宋体" w:hAnsi="宋体" w:hint="eastAsia"/>
          <w:bCs/>
          <w:szCs w:val="21"/>
        </w:rPr>
        <w:t>和仲裁费</w:t>
      </w:r>
      <w:r>
        <w:rPr>
          <w:rFonts w:ascii="宋体" w:hAnsi="宋体"/>
          <w:bCs/>
          <w:szCs w:val="21"/>
        </w:rPr>
        <w:t>；</w:t>
      </w:r>
    </w:p>
    <w:p w:rsidR="00822B64" w:rsidRDefault="00E92BF7">
      <w:pPr>
        <w:snapToGrid w:val="0"/>
        <w:spacing w:line="360" w:lineRule="auto"/>
        <w:ind w:firstLineChars="200" w:firstLine="420"/>
        <w:rPr>
          <w:rFonts w:ascii="宋体" w:hAnsi="宋体"/>
          <w:bCs/>
          <w:szCs w:val="21"/>
        </w:rPr>
      </w:pPr>
      <w:r>
        <w:rPr>
          <w:rFonts w:ascii="宋体" w:hAnsi="宋体"/>
          <w:bCs/>
          <w:szCs w:val="21"/>
        </w:rPr>
        <w:t>5、基金份额持有人大会费用；</w:t>
      </w:r>
    </w:p>
    <w:p w:rsidR="00822B64" w:rsidRDefault="00E92BF7">
      <w:pPr>
        <w:snapToGrid w:val="0"/>
        <w:spacing w:line="360" w:lineRule="auto"/>
        <w:ind w:firstLineChars="200" w:firstLine="420"/>
        <w:rPr>
          <w:rFonts w:ascii="宋体" w:hAnsi="宋体"/>
          <w:bCs/>
          <w:szCs w:val="21"/>
        </w:rPr>
      </w:pPr>
      <w:r>
        <w:rPr>
          <w:rFonts w:ascii="宋体" w:hAnsi="宋体"/>
          <w:bCs/>
          <w:szCs w:val="21"/>
        </w:rPr>
        <w:t>6、基金的证券交易费用；</w:t>
      </w:r>
    </w:p>
    <w:p w:rsidR="00822B64" w:rsidRDefault="00E92BF7">
      <w:pPr>
        <w:snapToGrid w:val="0"/>
        <w:spacing w:line="360" w:lineRule="auto"/>
        <w:ind w:firstLineChars="200" w:firstLine="420"/>
        <w:rPr>
          <w:rFonts w:ascii="宋体" w:hAnsi="宋体"/>
          <w:bCs/>
          <w:szCs w:val="21"/>
        </w:rPr>
      </w:pPr>
      <w:r>
        <w:rPr>
          <w:rFonts w:ascii="宋体" w:hAnsi="宋体"/>
          <w:bCs/>
          <w:szCs w:val="21"/>
        </w:rPr>
        <w:t>7、基金的银行汇划费用；</w:t>
      </w:r>
    </w:p>
    <w:p w:rsidR="00822B64" w:rsidRDefault="00E92BF7">
      <w:pPr>
        <w:snapToGrid w:val="0"/>
        <w:spacing w:line="360" w:lineRule="auto"/>
        <w:ind w:firstLineChars="200" w:firstLine="420"/>
        <w:rPr>
          <w:rFonts w:ascii="宋体" w:hAnsi="宋体"/>
          <w:bCs/>
          <w:szCs w:val="21"/>
        </w:rPr>
      </w:pPr>
      <w:r>
        <w:rPr>
          <w:rFonts w:ascii="宋体" w:hAnsi="宋体"/>
          <w:bCs/>
          <w:szCs w:val="21"/>
        </w:rPr>
        <w:t>8、</w:t>
      </w:r>
      <w:r>
        <w:rPr>
          <w:rFonts w:ascii="宋体" w:hAnsi="宋体" w:hint="eastAsia"/>
          <w:bCs/>
          <w:szCs w:val="21"/>
        </w:rPr>
        <w:t>基金的账户开户费用、账户维护费用；</w:t>
      </w:r>
    </w:p>
    <w:p w:rsidR="00822B64" w:rsidRDefault="00E92BF7">
      <w:pPr>
        <w:snapToGrid w:val="0"/>
        <w:spacing w:line="360" w:lineRule="auto"/>
        <w:ind w:firstLineChars="200" w:firstLine="420"/>
        <w:rPr>
          <w:rFonts w:ascii="宋体" w:hAnsi="宋体"/>
          <w:bCs/>
          <w:szCs w:val="21"/>
        </w:rPr>
      </w:pPr>
      <w:r>
        <w:rPr>
          <w:rFonts w:ascii="宋体" w:hAnsi="宋体"/>
          <w:bCs/>
          <w:szCs w:val="21"/>
        </w:rPr>
        <w:t>9、按照国家有关规定和《基金合同》约定，可以在基金财产中列支的其他费用。</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rPr>
      </w:pPr>
      <w:r>
        <w:rPr>
          <w:rFonts w:ascii="宋体" w:hAnsi="宋体" w:hint="eastAsia"/>
          <w:b/>
        </w:rPr>
        <w:t>二、基金费用计提方法、计提标准和支付方式</w:t>
      </w:r>
    </w:p>
    <w:p w:rsidR="00822B64" w:rsidRDefault="00E92BF7">
      <w:pPr>
        <w:snapToGrid w:val="0"/>
        <w:spacing w:line="360" w:lineRule="auto"/>
        <w:ind w:firstLineChars="200" w:firstLine="420"/>
        <w:rPr>
          <w:rFonts w:ascii="宋体" w:hAnsi="宋体"/>
          <w:bCs/>
          <w:szCs w:val="21"/>
        </w:rPr>
      </w:pPr>
      <w:r>
        <w:rPr>
          <w:rFonts w:ascii="宋体" w:hAnsi="宋体"/>
          <w:bCs/>
          <w:szCs w:val="21"/>
        </w:rPr>
        <w:t>1、基金管理人的管理费</w:t>
      </w:r>
    </w:p>
    <w:p w:rsidR="00822B64" w:rsidRDefault="00E92BF7">
      <w:pPr>
        <w:snapToGrid w:val="0"/>
        <w:spacing w:line="360" w:lineRule="auto"/>
        <w:ind w:firstLineChars="200" w:firstLine="420"/>
        <w:rPr>
          <w:rFonts w:ascii="宋体" w:hAnsi="宋体"/>
          <w:bCs/>
          <w:szCs w:val="21"/>
        </w:rPr>
      </w:pPr>
      <w:r>
        <w:rPr>
          <w:rFonts w:ascii="宋体" w:hAnsi="宋体"/>
          <w:bCs/>
          <w:szCs w:val="21"/>
        </w:rPr>
        <w:t>本基金的管理费按前一日基金资产净值的</w:t>
      </w:r>
      <w:r>
        <w:rPr>
          <w:rFonts w:ascii="宋体" w:hAnsi="宋体" w:hint="eastAsia"/>
          <w:bCs/>
          <w:szCs w:val="21"/>
        </w:rPr>
        <w:t>0.</w:t>
      </w:r>
      <w:r>
        <w:rPr>
          <w:rFonts w:ascii="宋体" w:hAnsi="宋体"/>
          <w:bCs/>
          <w:szCs w:val="21"/>
        </w:rPr>
        <w:t>15%年费率计提。管理费的计算方法如下：</w:t>
      </w:r>
    </w:p>
    <w:p w:rsidR="00822B64" w:rsidRDefault="00E92BF7">
      <w:pPr>
        <w:snapToGrid w:val="0"/>
        <w:spacing w:line="360" w:lineRule="auto"/>
        <w:ind w:firstLineChars="200" w:firstLine="420"/>
        <w:rPr>
          <w:rFonts w:ascii="宋体" w:hAnsi="宋体"/>
          <w:bCs/>
          <w:szCs w:val="21"/>
        </w:rPr>
      </w:pPr>
      <w:r>
        <w:rPr>
          <w:rFonts w:ascii="宋体" w:hAnsi="宋体"/>
          <w:bCs/>
          <w:szCs w:val="21"/>
        </w:rPr>
        <w:t>H＝E</w:t>
      </w:r>
      <w:r>
        <w:rPr>
          <w:rFonts w:ascii="宋体" w:hAnsi="宋体" w:hint="eastAsia"/>
          <w:bCs/>
          <w:szCs w:val="21"/>
        </w:rPr>
        <w:t>×0.</w:t>
      </w:r>
      <w:r>
        <w:rPr>
          <w:rFonts w:ascii="宋体" w:hAnsi="宋体"/>
          <w:bCs/>
          <w:szCs w:val="21"/>
        </w:rPr>
        <w:t>15%</w:t>
      </w:r>
      <w:r>
        <w:rPr>
          <w:rFonts w:ascii="宋体" w:hAnsi="宋体" w:hint="eastAsia"/>
          <w:bCs/>
          <w:szCs w:val="21"/>
        </w:rPr>
        <w:t>÷</w:t>
      </w:r>
      <w:r>
        <w:rPr>
          <w:rFonts w:ascii="宋体" w:hAnsi="宋体"/>
          <w:bCs/>
          <w:szCs w:val="21"/>
        </w:rPr>
        <w:t>当年天数</w:t>
      </w:r>
    </w:p>
    <w:p w:rsidR="00822B64" w:rsidRDefault="00E92BF7">
      <w:pPr>
        <w:snapToGrid w:val="0"/>
        <w:spacing w:line="360" w:lineRule="auto"/>
        <w:ind w:firstLineChars="200" w:firstLine="420"/>
        <w:rPr>
          <w:rFonts w:ascii="宋体" w:hAnsi="宋体"/>
          <w:bCs/>
          <w:szCs w:val="21"/>
        </w:rPr>
      </w:pPr>
      <w:r>
        <w:rPr>
          <w:rFonts w:ascii="宋体" w:hAnsi="宋体"/>
          <w:bCs/>
          <w:szCs w:val="21"/>
        </w:rPr>
        <w:t>H为每日应计提的基金管理费</w:t>
      </w:r>
    </w:p>
    <w:p w:rsidR="00822B64" w:rsidRDefault="00E92BF7">
      <w:pPr>
        <w:snapToGrid w:val="0"/>
        <w:spacing w:line="360" w:lineRule="auto"/>
        <w:ind w:firstLineChars="200" w:firstLine="420"/>
        <w:rPr>
          <w:rFonts w:ascii="宋体" w:hAnsi="宋体"/>
          <w:bCs/>
          <w:szCs w:val="21"/>
        </w:rPr>
      </w:pPr>
      <w:r>
        <w:rPr>
          <w:rFonts w:ascii="宋体" w:hAnsi="宋体"/>
          <w:bCs/>
          <w:szCs w:val="21"/>
        </w:rPr>
        <w:t>E为前一日的基金资产净值</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基金管理费每日计提，逐日累计至每月月末，按月支付。</w:t>
      </w:r>
      <w:r>
        <w:rPr>
          <w:rFonts w:ascii="宋体" w:hAnsi="宋体"/>
          <w:bCs/>
          <w:szCs w:val="21"/>
        </w:rPr>
        <w:t>由基金管理人</w:t>
      </w:r>
      <w:r>
        <w:rPr>
          <w:rFonts w:ascii="宋体" w:hAnsi="宋体" w:hint="eastAsia"/>
          <w:bCs/>
          <w:szCs w:val="21"/>
        </w:rPr>
        <w:t>与</w:t>
      </w:r>
      <w:r>
        <w:rPr>
          <w:rFonts w:ascii="宋体" w:hAnsi="宋体"/>
          <w:bCs/>
          <w:szCs w:val="21"/>
        </w:rPr>
        <w:t>基金托管人</w:t>
      </w:r>
      <w:r>
        <w:rPr>
          <w:rFonts w:ascii="宋体" w:hAnsi="宋体" w:hint="eastAsia"/>
          <w:bCs/>
          <w:szCs w:val="21"/>
        </w:rPr>
        <w:t>核对一致后</w:t>
      </w:r>
      <w:r>
        <w:rPr>
          <w:rFonts w:ascii="宋体" w:hAnsi="宋体"/>
          <w:bCs/>
          <w:szCs w:val="21"/>
        </w:rPr>
        <w:t>，基金托管人</w:t>
      </w:r>
      <w:r>
        <w:rPr>
          <w:rFonts w:ascii="宋体" w:hAnsi="宋体" w:hint="eastAsia"/>
          <w:bCs/>
          <w:szCs w:val="21"/>
        </w:rPr>
        <w:t>按照与基金管理人协商一致的方式于次月首日起5个工作日内从基金财产中一次性支付给基金管理人。若遇法定节假日、公休假或不可抗力等，支付日期顺延。</w:t>
      </w:r>
    </w:p>
    <w:p w:rsidR="00822B64" w:rsidRDefault="00E92BF7">
      <w:pPr>
        <w:snapToGrid w:val="0"/>
        <w:spacing w:line="360" w:lineRule="auto"/>
        <w:ind w:firstLineChars="200" w:firstLine="420"/>
        <w:rPr>
          <w:rFonts w:ascii="宋体" w:hAnsi="宋体"/>
          <w:bCs/>
          <w:szCs w:val="21"/>
        </w:rPr>
      </w:pPr>
      <w:r>
        <w:rPr>
          <w:rFonts w:ascii="宋体" w:hAnsi="宋体"/>
          <w:bCs/>
          <w:szCs w:val="21"/>
        </w:rPr>
        <w:t>2、基金托管人的托管费</w:t>
      </w:r>
    </w:p>
    <w:p w:rsidR="00822B64" w:rsidRDefault="00E92BF7">
      <w:pPr>
        <w:snapToGrid w:val="0"/>
        <w:spacing w:line="360" w:lineRule="auto"/>
        <w:ind w:firstLineChars="200" w:firstLine="420"/>
        <w:rPr>
          <w:rFonts w:ascii="宋体" w:hAnsi="宋体"/>
          <w:bCs/>
          <w:szCs w:val="21"/>
        </w:rPr>
      </w:pPr>
      <w:r>
        <w:rPr>
          <w:rFonts w:ascii="宋体" w:hAnsi="宋体"/>
          <w:bCs/>
          <w:szCs w:val="21"/>
        </w:rPr>
        <w:t>本基金的托管费按前一日基金资产净值的</w:t>
      </w:r>
      <w:r>
        <w:rPr>
          <w:rFonts w:ascii="宋体" w:hAnsi="宋体" w:hint="eastAsia"/>
          <w:bCs/>
          <w:szCs w:val="21"/>
        </w:rPr>
        <w:t>0.</w:t>
      </w:r>
      <w:r>
        <w:rPr>
          <w:rFonts w:ascii="宋体" w:hAnsi="宋体"/>
          <w:bCs/>
          <w:szCs w:val="21"/>
        </w:rPr>
        <w:t>05</w:t>
      </w:r>
      <w:r>
        <w:rPr>
          <w:rFonts w:ascii="宋体" w:hAnsi="宋体" w:hint="eastAsia"/>
          <w:bCs/>
          <w:szCs w:val="21"/>
        </w:rPr>
        <w:t xml:space="preserve">% </w:t>
      </w:r>
      <w:r>
        <w:rPr>
          <w:rFonts w:ascii="宋体" w:hAnsi="宋体"/>
          <w:bCs/>
          <w:szCs w:val="21"/>
        </w:rPr>
        <w:t>的年费率计提。托管费的计算方法如下：</w:t>
      </w:r>
    </w:p>
    <w:p w:rsidR="00822B64" w:rsidRDefault="00E92BF7">
      <w:pPr>
        <w:snapToGrid w:val="0"/>
        <w:spacing w:line="360" w:lineRule="auto"/>
        <w:ind w:firstLineChars="200" w:firstLine="420"/>
        <w:rPr>
          <w:rFonts w:ascii="宋体" w:hAnsi="宋体"/>
          <w:bCs/>
          <w:szCs w:val="21"/>
        </w:rPr>
      </w:pPr>
      <w:r>
        <w:rPr>
          <w:rFonts w:ascii="宋体" w:hAnsi="宋体"/>
          <w:bCs/>
          <w:szCs w:val="21"/>
        </w:rPr>
        <w:t>H＝E</w:t>
      </w:r>
      <w:r>
        <w:rPr>
          <w:rFonts w:ascii="宋体" w:hAnsi="宋体" w:hint="eastAsia"/>
          <w:bCs/>
          <w:szCs w:val="21"/>
        </w:rPr>
        <w:t>×0.</w:t>
      </w:r>
      <w:r>
        <w:rPr>
          <w:rFonts w:ascii="宋体" w:hAnsi="宋体"/>
          <w:bCs/>
          <w:szCs w:val="21"/>
        </w:rPr>
        <w:t>05%</w:t>
      </w:r>
      <w:r>
        <w:rPr>
          <w:rFonts w:ascii="宋体" w:hAnsi="宋体" w:hint="eastAsia"/>
          <w:bCs/>
          <w:szCs w:val="21"/>
        </w:rPr>
        <w:t>÷</w:t>
      </w:r>
      <w:r>
        <w:rPr>
          <w:rFonts w:ascii="宋体" w:hAnsi="宋体"/>
          <w:bCs/>
          <w:szCs w:val="21"/>
        </w:rPr>
        <w:t>当年天数</w:t>
      </w:r>
    </w:p>
    <w:p w:rsidR="00822B64" w:rsidRDefault="00E92BF7">
      <w:pPr>
        <w:snapToGrid w:val="0"/>
        <w:spacing w:line="360" w:lineRule="auto"/>
        <w:ind w:firstLineChars="200" w:firstLine="420"/>
        <w:rPr>
          <w:rFonts w:ascii="宋体" w:hAnsi="宋体"/>
          <w:bCs/>
          <w:szCs w:val="21"/>
        </w:rPr>
      </w:pPr>
      <w:r>
        <w:rPr>
          <w:rFonts w:ascii="宋体" w:hAnsi="宋体"/>
          <w:bCs/>
          <w:szCs w:val="21"/>
        </w:rPr>
        <w:t>H为每日应计提的基金托管费</w:t>
      </w:r>
    </w:p>
    <w:p w:rsidR="00822B64" w:rsidRDefault="00E92BF7">
      <w:pPr>
        <w:snapToGrid w:val="0"/>
        <w:spacing w:line="360" w:lineRule="auto"/>
        <w:ind w:firstLineChars="200" w:firstLine="420"/>
        <w:rPr>
          <w:rFonts w:ascii="宋体" w:hAnsi="宋体"/>
          <w:bCs/>
          <w:szCs w:val="21"/>
        </w:rPr>
      </w:pPr>
      <w:r>
        <w:rPr>
          <w:rFonts w:ascii="宋体" w:hAnsi="宋体"/>
          <w:bCs/>
          <w:szCs w:val="21"/>
        </w:rPr>
        <w:t>E为前一日的基金资产净值</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基金托管费每日计提，逐日累计至每月月末，按月支付。</w:t>
      </w:r>
      <w:r>
        <w:rPr>
          <w:rFonts w:ascii="宋体" w:hAnsi="宋体"/>
          <w:bCs/>
          <w:szCs w:val="21"/>
        </w:rPr>
        <w:t>由基金管理人</w:t>
      </w:r>
      <w:r>
        <w:rPr>
          <w:rFonts w:ascii="宋体" w:hAnsi="宋体" w:hint="eastAsia"/>
          <w:bCs/>
          <w:szCs w:val="21"/>
        </w:rPr>
        <w:t>与</w:t>
      </w:r>
      <w:r>
        <w:rPr>
          <w:rFonts w:ascii="宋体" w:hAnsi="宋体"/>
          <w:bCs/>
          <w:szCs w:val="21"/>
        </w:rPr>
        <w:t>基金托管人</w:t>
      </w:r>
      <w:r>
        <w:rPr>
          <w:rFonts w:ascii="宋体" w:hAnsi="宋体" w:hint="eastAsia"/>
          <w:bCs/>
          <w:szCs w:val="21"/>
        </w:rPr>
        <w:t>核对一致后</w:t>
      </w:r>
      <w:r>
        <w:rPr>
          <w:rFonts w:ascii="宋体" w:hAnsi="宋体"/>
          <w:bCs/>
          <w:szCs w:val="21"/>
        </w:rPr>
        <w:t>，基金托管人</w:t>
      </w:r>
      <w:r>
        <w:rPr>
          <w:rFonts w:ascii="宋体" w:hAnsi="宋体" w:hint="eastAsia"/>
          <w:bCs/>
          <w:szCs w:val="21"/>
        </w:rPr>
        <w:t>按照与基金管理人协商一致的方式于次月首日起5个工作日内从基金财产中一次性支付给基金托管人。若遇法定节假日、</w:t>
      </w:r>
      <w:r>
        <w:rPr>
          <w:rFonts w:ascii="宋体" w:hAnsi="宋体"/>
          <w:bCs/>
          <w:szCs w:val="21"/>
        </w:rPr>
        <w:t>公休假</w:t>
      </w:r>
      <w:r>
        <w:rPr>
          <w:rFonts w:ascii="宋体" w:hAnsi="宋体" w:hint="eastAsia"/>
          <w:bCs/>
          <w:szCs w:val="21"/>
        </w:rPr>
        <w:t>或不可抗力等，支付日期顺延。</w:t>
      </w:r>
    </w:p>
    <w:p w:rsidR="00822B64" w:rsidRDefault="00E92BF7">
      <w:pPr>
        <w:snapToGrid w:val="0"/>
        <w:spacing w:line="360" w:lineRule="auto"/>
        <w:ind w:firstLineChars="200" w:firstLine="420"/>
        <w:rPr>
          <w:rFonts w:ascii="宋体" w:hAnsi="宋体"/>
          <w:bCs/>
          <w:szCs w:val="21"/>
        </w:rPr>
      </w:pPr>
      <w:r>
        <w:rPr>
          <w:rFonts w:ascii="宋体" w:hAnsi="宋体"/>
          <w:bCs/>
          <w:szCs w:val="21"/>
        </w:rPr>
        <w:t>上述</w:t>
      </w:r>
      <w:r>
        <w:rPr>
          <w:rFonts w:ascii="宋体" w:hAnsi="宋体" w:hint="eastAsia"/>
          <w:bCs/>
          <w:szCs w:val="21"/>
        </w:rPr>
        <w:t>“</w:t>
      </w:r>
      <w:r>
        <w:rPr>
          <w:rFonts w:ascii="宋体" w:hAnsi="宋体"/>
          <w:bCs/>
          <w:szCs w:val="21"/>
        </w:rPr>
        <w:t>一、基金费用的种类</w:t>
      </w:r>
      <w:r>
        <w:rPr>
          <w:rFonts w:ascii="宋体" w:hAnsi="宋体" w:hint="eastAsia"/>
          <w:bCs/>
          <w:szCs w:val="21"/>
        </w:rPr>
        <w:t>”</w:t>
      </w:r>
      <w:r>
        <w:rPr>
          <w:rFonts w:ascii="宋体" w:hAnsi="宋体"/>
          <w:bCs/>
          <w:szCs w:val="21"/>
        </w:rPr>
        <w:t>中第3－</w:t>
      </w:r>
      <w:r>
        <w:rPr>
          <w:rFonts w:ascii="宋体" w:hAnsi="宋体" w:hint="eastAsia"/>
          <w:bCs/>
          <w:szCs w:val="21"/>
        </w:rPr>
        <w:t>9</w:t>
      </w:r>
      <w:r>
        <w:rPr>
          <w:rFonts w:ascii="宋体" w:hAnsi="宋体"/>
          <w:bCs/>
          <w:szCs w:val="21"/>
        </w:rPr>
        <w:t>项费用，根据有关法规及相应协议规定，按费用实际支出金额列入当期费用，由基金托管人</w:t>
      </w:r>
      <w:r>
        <w:rPr>
          <w:rFonts w:ascii="宋体" w:hAnsi="宋体" w:hint="eastAsia"/>
          <w:bCs/>
          <w:szCs w:val="21"/>
        </w:rPr>
        <w:t>根据基金管理人指令并参照行业惯例</w:t>
      </w:r>
      <w:r>
        <w:rPr>
          <w:rFonts w:ascii="宋体" w:hAnsi="宋体"/>
          <w:bCs/>
          <w:szCs w:val="21"/>
        </w:rPr>
        <w:t>从基金财</w:t>
      </w:r>
      <w:r>
        <w:rPr>
          <w:rFonts w:ascii="宋体" w:hAnsi="宋体"/>
          <w:bCs/>
          <w:szCs w:val="21"/>
        </w:rPr>
        <w:lastRenderedPageBreak/>
        <w:t>产中支付。</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rPr>
      </w:pPr>
      <w:r>
        <w:rPr>
          <w:rFonts w:ascii="宋体" w:hAnsi="宋体" w:hint="eastAsia"/>
          <w:b/>
        </w:rPr>
        <w:t>三、不列入基金费用的项目</w:t>
      </w:r>
    </w:p>
    <w:p w:rsidR="00822B64" w:rsidRDefault="00E92BF7">
      <w:pPr>
        <w:snapToGrid w:val="0"/>
        <w:spacing w:line="360" w:lineRule="auto"/>
        <w:ind w:firstLineChars="200" w:firstLine="420"/>
        <w:rPr>
          <w:rFonts w:ascii="宋体" w:hAnsi="宋体"/>
          <w:bCs/>
        </w:rPr>
      </w:pPr>
      <w:r>
        <w:rPr>
          <w:rFonts w:ascii="宋体" w:hAnsi="宋体"/>
          <w:bCs/>
        </w:rPr>
        <w:t>下列费用不列入基金费用：</w:t>
      </w:r>
    </w:p>
    <w:p w:rsidR="00822B64" w:rsidRDefault="00E92BF7">
      <w:pPr>
        <w:snapToGrid w:val="0"/>
        <w:spacing w:line="360" w:lineRule="auto"/>
        <w:ind w:firstLineChars="200" w:firstLine="420"/>
        <w:rPr>
          <w:rFonts w:ascii="宋体" w:hAnsi="宋体"/>
          <w:bCs/>
        </w:rPr>
      </w:pPr>
      <w:r>
        <w:rPr>
          <w:rFonts w:ascii="宋体" w:hAnsi="宋体"/>
          <w:bCs/>
        </w:rPr>
        <w:t>1、基金管理人和基金托管人因未履行或未完全履行义务导致的费用支出或基金财产的损失；</w:t>
      </w:r>
    </w:p>
    <w:p w:rsidR="00822B64" w:rsidRDefault="00E92BF7">
      <w:pPr>
        <w:snapToGrid w:val="0"/>
        <w:spacing w:line="360" w:lineRule="auto"/>
        <w:ind w:firstLineChars="200" w:firstLine="420"/>
        <w:rPr>
          <w:rFonts w:ascii="宋体" w:hAnsi="宋体"/>
          <w:bCs/>
        </w:rPr>
      </w:pPr>
      <w:r>
        <w:rPr>
          <w:rFonts w:ascii="宋体" w:hAnsi="宋体"/>
          <w:bCs/>
        </w:rPr>
        <w:t>2、基金管理人和基金托管人处理与基金运作无关的事项发生的费用；</w:t>
      </w:r>
    </w:p>
    <w:p w:rsidR="00822B64" w:rsidRDefault="00E92BF7">
      <w:pPr>
        <w:snapToGrid w:val="0"/>
        <w:spacing w:line="360" w:lineRule="auto"/>
        <w:ind w:firstLineChars="200" w:firstLine="420"/>
        <w:rPr>
          <w:rFonts w:ascii="宋体" w:hAnsi="宋体"/>
          <w:bCs/>
        </w:rPr>
      </w:pPr>
      <w:r>
        <w:rPr>
          <w:rFonts w:ascii="宋体" w:hAnsi="宋体"/>
          <w:bCs/>
        </w:rPr>
        <w:t>3、《基金合同》生效前的相关费用；</w:t>
      </w:r>
    </w:p>
    <w:p w:rsidR="00822B64" w:rsidRDefault="00E92BF7">
      <w:pPr>
        <w:snapToGrid w:val="0"/>
        <w:spacing w:line="360" w:lineRule="auto"/>
        <w:ind w:firstLineChars="200" w:firstLine="420"/>
        <w:rPr>
          <w:rFonts w:ascii="宋体" w:hAnsi="宋体"/>
          <w:bCs/>
        </w:rPr>
      </w:pPr>
      <w:r>
        <w:rPr>
          <w:rFonts w:ascii="宋体" w:hAnsi="宋体"/>
          <w:bCs/>
        </w:rPr>
        <w:t>4、其他根据相关法律法规及中国证监会的有关规定不得列入基金费用的项目。</w:t>
      </w:r>
      <w:bookmarkStart w:id="284" w:name="_Hlt88827255"/>
      <w:bookmarkEnd w:id="284"/>
    </w:p>
    <w:p w:rsidR="00822B64" w:rsidRDefault="00822B64">
      <w:pPr>
        <w:snapToGrid w:val="0"/>
        <w:spacing w:line="360" w:lineRule="auto"/>
        <w:ind w:firstLineChars="200" w:firstLine="422"/>
        <w:rPr>
          <w:rFonts w:ascii="宋体" w:hAnsi="宋体"/>
          <w:b/>
        </w:rPr>
      </w:pPr>
    </w:p>
    <w:p w:rsidR="00822B64" w:rsidRDefault="00E92BF7">
      <w:pPr>
        <w:snapToGrid w:val="0"/>
        <w:spacing w:line="360" w:lineRule="auto"/>
        <w:ind w:firstLineChars="200" w:firstLine="422"/>
        <w:rPr>
          <w:rFonts w:ascii="宋体" w:hAnsi="宋体"/>
          <w:b/>
        </w:rPr>
      </w:pPr>
      <w:r>
        <w:rPr>
          <w:rFonts w:ascii="宋体" w:hAnsi="宋体" w:hint="eastAsia"/>
          <w:b/>
        </w:rPr>
        <w:t>四、实施侧袋机制期间的基金费用</w:t>
      </w:r>
    </w:p>
    <w:p w:rsidR="00822B64" w:rsidRDefault="00E92BF7">
      <w:pPr>
        <w:snapToGrid w:val="0"/>
        <w:spacing w:line="360" w:lineRule="auto"/>
        <w:ind w:firstLineChars="200" w:firstLine="420"/>
        <w:rPr>
          <w:rFonts w:ascii="宋体" w:hAnsi="宋体"/>
          <w:bCs/>
        </w:rPr>
      </w:pPr>
      <w:r>
        <w:rPr>
          <w:rFonts w:ascii="宋体" w:hAnsi="宋体" w:hint="eastAsia"/>
          <w:bCs/>
        </w:rPr>
        <w:t>本基金实施侧袋机制的，与侧袋账户有关的费用可以从侧袋账户中列支，但应待侧袋账户资产变现后方可列支，有关费用可酌情收取或减免，但不得收取管理费，详见招募说明书“侧袋机制”部分的规定。</w:t>
      </w:r>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2"/>
        <w:rPr>
          <w:rFonts w:ascii="宋体" w:hAnsi="宋体"/>
          <w:b/>
        </w:rPr>
      </w:pPr>
      <w:r>
        <w:rPr>
          <w:rFonts w:ascii="宋体" w:hAnsi="宋体" w:hint="eastAsia"/>
          <w:b/>
        </w:rPr>
        <w:t>五</w:t>
      </w:r>
      <w:r>
        <w:rPr>
          <w:rFonts w:ascii="宋体" w:hAnsi="宋体"/>
          <w:b/>
        </w:rPr>
        <w:t>、</w:t>
      </w:r>
      <w:r>
        <w:rPr>
          <w:rFonts w:ascii="宋体" w:hAnsi="宋体" w:hint="eastAsia"/>
          <w:b/>
        </w:rPr>
        <w:t>基金税收</w:t>
      </w:r>
    </w:p>
    <w:p w:rsidR="00822B64" w:rsidRDefault="00E92BF7">
      <w:pPr>
        <w:snapToGrid w:val="0"/>
        <w:spacing w:line="360" w:lineRule="auto"/>
        <w:ind w:firstLineChars="200" w:firstLine="420"/>
        <w:rPr>
          <w:rFonts w:ascii="宋体" w:hAnsi="宋体"/>
          <w:bCs/>
          <w:szCs w:val="20"/>
        </w:rPr>
      </w:pPr>
      <w:r>
        <w:rPr>
          <w:rFonts w:ascii="宋体" w:hAnsi="宋体"/>
          <w:bCs/>
          <w:szCs w:val="20"/>
        </w:rPr>
        <w:t>本基金运作过程中涉及的各纳税主体，其纳税义务按国家税收法律、法规执行。基金财产投资的相关税收，由基金份额持有人承担，基金管理人或者其他扣缴义务人按照国家有关税收征收的规定代扣代缴。</w:t>
      </w:r>
    </w:p>
    <w:p w:rsidR="00822B64" w:rsidRDefault="00E92BF7">
      <w:pPr>
        <w:pStyle w:val="36"/>
        <w:snapToGrid w:val="0"/>
        <w:rPr>
          <w:rFonts w:hAnsi="宋体" w:hint="default"/>
          <w:szCs w:val="24"/>
        </w:rPr>
      </w:pPr>
      <w:r>
        <w:rPr>
          <w:rFonts w:hAnsi="宋体"/>
          <w:kern w:val="0"/>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85" w:name="_Toc360793506"/>
      <w:bookmarkStart w:id="286" w:name="_Toc360793858"/>
      <w:bookmarkStart w:id="287" w:name="_Toc48808892"/>
      <w:bookmarkStart w:id="288" w:name="_Toc362533463"/>
      <w:bookmarkStart w:id="289" w:name="_Toc360794524"/>
      <w:bookmarkStart w:id="290" w:name="_Toc362455191"/>
      <w:bookmarkStart w:id="291" w:name="_Toc360794108"/>
      <w:bookmarkStart w:id="292" w:name="_Toc360794416"/>
      <w:r>
        <w:rPr>
          <w:rFonts w:ascii="宋体" w:eastAsia="宋体" w:hAnsi="宋体" w:hint="eastAsia"/>
        </w:rPr>
        <w:lastRenderedPageBreak/>
        <w:t>基金的会计与审计</w:t>
      </w:r>
      <w:bookmarkEnd w:id="285"/>
      <w:bookmarkEnd w:id="286"/>
      <w:bookmarkEnd w:id="287"/>
      <w:bookmarkEnd w:id="288"/>
      <w:bookmarkEnd w:id="289"/>
      <w:bookmarkEnd w:id="290"/>
      <w:bookmarkEnd w:id="291"/>
      <w:bookmarkEnd w:id="292"/>
    </w:p>
    <w:p w:rsidR="00822B64" w:rsidRDefault="00822B64">
      <w:pPr>
        <w:snapToGrid w:val="0"/>
        <w:spacing w:line="360" w:lineRule="auto"/>
        <w:ind w:firstLineChars="200" w:firstLine="422"/>
        <w:rPr>
          <w:rFonts w:ascii="宋体" w:hAnsi="宋体"/>
          <w:b/>
          <w:bCs/>
        </w:rPr>
      </w:pPr>
    </w:p>
    <w:p w:rsidR="00822B64" w:rsidRDefault="00E92BF7">
      <w:pPr>
        <w:snapToGrid w:val="0"/>
        <w:spacing w:line="360" w:lineRule="auto"/>
        <w:ind w:firstLineChars="200" w:firstLine="422"/>
        <w:rPr>
          <w:rFonts w:ascii="宋体" w:hAnsi="宋体"/>
          <w:b/>
          <w:bCs/>
        </w:rPr>
      </w:pPr>
      <w:r>
        <w:rPr>
          <w:rFonts w:ascii="宋体" w:hAnsi="宋体" w:hint="eastAsia"/>
          <w:b/>
          <w:bCs/>
        </w:rPr>
        <w:t>一、基金会计政策</w:t>
      </w:r>
    </w:p>
    <w:p w:rsidR="00822B64" w:rsidRDefault="00E92BF7">
      <w:pPr>
        <w:adjustRightInd w:val="0"/>
        <w:snapToGrid w:val="0"/>
        <w:spacing w:line="360" w:lineRule="auto"/>
        <w:ind w:firstLine="420"/>
        <w:rPr>
          <w:rFonts w:ascii="宋体" w:hAnsi="宋体"/>
          <w:szCs w:val="21"/>
        </w:rPr>
      </w:pPr>
      <w:r>
        <w:rPr>
          <w:rFonts w:ascii="宋体" w:hAnsi="宋体"/>
          <w:szCs w:val="21"/>
        </w:rPr>
        <w:t>1、基金管理人为本基金的基金会计责任方；</w:t>
      </w:r>
    </w:p>
    <w:p w:rsidR="00822B64" w:rsidRDefault="00E92BF7">
      <w:pPr>
        <w:adjustRightInd w:val="0"/>
        <w:snapToGrid w:val="0"/>
        <w:spacing w:line="360" w:lineRule="auto"/>
        <w:ind w:firstLine="420"/>
        <w:rPr>
          <w:rFonts w:ascii="宋体" w:hAnsi="宋体"/>
          <w:szCs w:val="21"/>
        </w:rPr>
      </w:pPr>
      <w:r>
        <w:rPr>
          <w:rFonts w:ascii="宋体" w:hAnsi="宋体"/>
          <w:szCs w:val="21"/>
        </w:rPr>
        <w:t>2、基金的会计年度为公历年度的1月1日至12月31日；基金首次募集的会计年度按如下原则：如果《基金合同》生效少于2个月，可以并入下一个会计年度</w:t>
      </w:r>
      <w:r>
        <w:rPr>
          <w:rFonts w:ascii="宋体" w:hAnsi="宋体" w:hint="eastAsia"/>
          <w:szCs w:val="21"/>
        </w:rPr>
        <w:t>披露</w:t>
      </w:r>
      <w:r>
        <w:rPr>
          <w:rFonts w:ascii="宋体" w:hAnsi="宋体"/>
          <w:szCs w:val="21"/>
        </w:rPr>
        <w:t>；</w:t>
      </w:r>
    </w:p>
    <w:p w:rsidR="00822B64" w:rsidRDefault="00E92BF7">
      <w:pPr>
        <w:adjustRightInd w:val="0"/>
        <w:snapToGrid w:val="0"/>
        <w:spacing w:line="360" w:lineRule="auto"/>
        <w:ind w:firstLine="420"/>
        <w:rPr>
          <w:rFonts w:ascii="宋体" w:hAnsi="宋体"/>
          <w:szCs w:val="21"/>
        </w:rPr>
      </w:pPr>
      <w:r>
        <w:rPr>
          <w:rFonts w:ascii="宋体" w:hAnsi="宋体"/>
          <w:szCs w:val="21"/>
        </w:rPr>
        <w:t>3、基金核算以人民币为记账本位币，以人民币元为记账单位；</w:t>
      </w:r>
    </w:p>
    <w:p w:rsidR="00822B64" w:rsidRDefault="00E92BF7">
      <w:pPr>
        <w:adjustRightInd w:val="0"/>
        <w:snapToGrid w:val="0"/>
        <w:spacing w:line="360" w:lineRule="auto"/>
        <w:ind w:firstLine="420"/>
        <w:rPr>
          <w:rFonts w:ascii="宋体" w:hAnsi="宋体"/>
          <w:szCs w:val="21"/>
        </w:rPr>
      </w:pPr>
      <w:r>
        <w:rPr>
          <w:rFonts w:ascii="宋体" w:hAnsi="宋体"/>
          <w:szCs w:val="21"/>
        </w:rPr>
        <w:t>4、会计制度执行国家有关会计制度；</w:t>
      </w:r>
    </w:p>
    <w:p w:rsidR="00822B64" w:rsidRDefault="00E92BF7">
      <w:pPr>
        <w:adjustRightInd w:val="0"/>
        <w:snapToGrid w:val="0"/>
        <w:spacing w:line="360" w:lineRule="auto"/>
        <w:ind w:firstLine="420"/>
        <w:rPr>
          <w:rFonts w:ascii="宋体" w:hAnsi="宋体"/>
          <w:szCs w:val="21"/>
        </w:rPr>
      </w:pPr>
      <w:r>
        <w:rPr>
          <w:rFonts w:ascii="宋体" w:hAnsi="宋体"/>
          <w:szCs w:val="21"/>
        </w:rPr>
        <w:t>5、本基金独立建账、独立核算；</w:t>
      </w:r>
    </w:p>
    <w:p w:rsidR="00822B64" w:rsidRDefault="00E92BF7">
      <w:pPr>
        <w:adjustRightInd w:val="0"/>
        <w:snapToGrid w:val="0"/>
        <w:spacing w:line="360" w:lineRule="auto"/>
        <w:ind w:firstLine="420"/>
        <w:rPr>
          <w:rFonts w:ascii="宋体" w:hAnsi="宋体"/>
          <w:szCs w:val="21"/>
        </w:rPr>
      </w:pPr>
      <w:r>
        <w:rPr>
          <w:rFonts w:ascii="宋体" w:hAnsi="宋体"/>
          <w:szCs w:val="21"/>
        </w:rPr>
        <w:t>6、基金管理人及基金托管人各自保留完整的会计账目、凭证并进行日常的会计核算，按照有关规定编制基金会计报表；</w:t>
      </w:r>
    </w:p>
    <w:p w:rsidR="00822B64" w:rsidRDefault="00E92BF7">
      <w:pPr>
        <w:snapToGrid w:val="0"/>
        <w:spacing w:line="360" w:lineRule="auto"/>
        <w:ind w:firstLineChars="200" w:firstLine="420"/>
        <w:rPr>
          <w:rFonts w:ascii="宋体" w:hAnsi="宋体"/>
          <w:bCs/>
          <w:szCs w:val="21"/>
        </w:rPr>
      </w:pPr>
      <w:r>
        <w:rPr>
          <w:rFonts w:ascii="宋体" w:hAnsi="宋体"/>
          <w:szCs w:val="21"/>
        </w:rPr>
        <w:t>7、基金托管人每月与基金管理人就基金的会计核算、报表编制等</w:t>
      </w:r>
      <w:r>
        <w:rPr>
          <w:rFonts w:ascii="宋体" w:hAnsi="宋体" w:hint="eastAsia"/>
          <w:bCs/>
          <w:szCs w:val="21"/>
        </w:rPr>
        <w:t>进行核对并以托管协议约定的方式</w:t>
      </w:r>
      <w:r>
        <w:rPr>
          <w:rFonts w:ascii="宋体" w:hAnsi="宋体"/>
          <w:szCs w:val="21"/>
        </w:rPr>
        <w:t>确认。</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2"/>
        <w:rPr>
          <w:rFonts w:ascii="宋体" w:hAnsi="宋体"/>
          <w:b/>
          <w:bCs/>
          <w:szCs w:val="21"/>
        </w:rPr>
      </w:pPr>
      <w:r>
        <w:rPr>
          <w:rFonts w:ascii="宋体" w:hAnsi="宋体"/>
          <w:b/>
          <w:bCs/>
          <w:szCs w:val="21"/>
        </w:rPr>
        <w:t>二、基金的年度审计</w:t>
      </w:r>
    </w:p>
    <w:p w:rsidR="00822B64" w:rsidRDefault="00E92BF7">
      <w:pPr>
        <w:adjustRightInd w:val="0"/>
        <w:snapToGrid w:val="0"/>
        <w:spacing w:line="360" w:lineRule="auto"/>
        <w:ind w:firstLine="420"/>
        <w:rPr>
          <w:rFonts w:ascii="宋体" w:hAnsi="宋体"/>
          <w:szCs w:val="21"/>
        </w:rPr>
      </w:pPr>
      <w:r>
        <w:rPr>
          <w:rFonts w:ascii="宋体" w:hAnsi="宋体"/>
          <w:szCs w:val="21"/>
        </w:rPr>
        <w:t>1、基金管理人聘请与基金管理人、基金托管人相互独立的</w:t>
      </w:r>
      <w:r>
        <w:rPr>
          <w:rFonts w:ascii="宋体" w:hAnsi="宋体" w:hint="eastAsia"/>
          <w:szCs w:val="21"/>
        </w:rPr>
        <w:t>符合《中华人民共和国证券法》规定</w:t>
      </w:r>
      <w:bookmarkStart w:id="293" w:name="_Hlt4221115"/>
      <w:bookmarkEnd w:id="293"/>
      <w:r>
        <w:rPr>
          <w:rFonts w:ascii="宋体" w:hAnsi="宋体"/>
          <w:szCs w:val="21"/>
        </w:rPr>
        <w:t>的会计师事务所及其注册会计师对本基金的年度财务报表进行审计。</w:t>
      </w:r>
    </w:p>
    <w:p w:rsidR="00822B64" w:rsidRDefault="00E92BF7">
      <w:pPr>
        <w:adjustRightInd w:val="0"/>
        <w:snapToGrid w:val="0"/>
        <w:spacing w:line="360" w:lineRule="auto"/>
        <w:ind w:firstLine="420"/>
        <w:rPr>
          <w:rFonts w:ascii="宋体" w:hAnsi="宋体"/>
          <w:szCs w:val="21"/>
        </w:rPr>
      </w:pPr>
      <w:r>
        <w:rPr>
          <w:rFonts w:ascii="宋体" w:hAnsi="宋体"/>
          <w:szCs w:val="21"/>
        </w:rPr>
        <w:t>2、会计师事务所更换经办注册会计师，应事先征得基金管理人同意。</w:t>
      </w:r>
    </w:p>
    <w:p w:rsidR="00822B64" w:rsidRDefault="00E92BF7">
      <w:pPr>
        <w:snapToGrid w:val="0"/>
        <w:spacing w:line="360" w:lineRule="auto"/>
        <w:ind w:firstLineChars="200" w:firstLine="420"/>
        <w:rPr>
          <w:rFonts w:ascii="宋体" w:hAnsi="宋体"/>
          <w:bCs/>
          <w:szCs w:val="21"/>
        </w:rPr>
      </w:pPr>
      <w:r>
        <w:rPr>
          <w:rFonts w:ascii="宋体" w:hAnsi="宋体"/>
          <w:szCs w:val="21"/>
        </w:rPr>
        <w:t>3、基金管理人认为有充足理由更换会计师事务所，须通报基金托管人。更换会计师事务所需在2日内在</w:t>
      </w:r>
      <w:r>
        <w:rPr>
          <w:rFonts w:ascii="宋体" w:hAnsi="宋体" w:hint="eastAsia"/>
          <w:szCs w:val="21"/>
        </w:rPr>
        <w:t>规定媒介</w:t>
      </w:r>
      <w:r>
        <w:rPr>
          <w:rFonts w:ascii="宋体" w:hAnsi="宋体"/>
          <w:szCs w:val="21"/>
        </w:rPr>
        <w:t>公告。</w:t>
      </w:r>
    </w:p>
    <w:p w:rsidR="00822B64" w:rsidRDefault="00822B64">
      <w:pPr>
        <w:snapToGrid w:val="0"/>
        <w:spacing w:line="360" w:lineRule="auto"/>
        <w:ind w:firstLineChars="200" w:firstLine="420"/>
        <w:rPr>
          <w:rFonts w:ascii="宋体" w:hAnsi="宋体"/>
        </w:rPr>
      </w:pPr>
    </w:p>
    <w:p w:rsidR="00822B64" w:rsidRDefault="00E92BF7">
      <w:pPr>
        <w:pStyle w:val="ab"/>
        <w:snapToGrid w:val="0"/>
        <w:spacing w:line="360" w:lineRule="auto"/>
        <w:ind w:firstLineChars="200"/>
        <w:rPr>
          <w:rFonts w:ascii="宋体" w:hAnsi="宋体"/>
          <w:szCs w:val="24"/>
        </w:rPr>
      </w:pPr>
      <w:r>
        <w:rPr>
          <w:rFonts w:ascii="宋体" w:hAnsi="宋体"/>
          <w:kern w:val="0"/>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294" w:name="_Toc360794417"/>
      <w:bookmarkStart w:id="295" w:name="_Toc362455192"/>
      <w:bookmarkStart w:id="296" w:name="_Toc360794109"/>
      <w:bookmarkStart w:id="297" w:name="_Toc360794525"/>
      <w:bookmarkStart w:id="298" w:name="_Toc360793507"/>
      <w:bookmarkStart w:id="299" w:name="_Toc48808893"/>
      <w:bookmarkStart w:id="300" w:name="_Toc360793859"/>
      <w:bookmarkStart w:id="301" w:name="_Toc362533464"/>
      <w:r>
        <w:rPr>
          <w:rFonts w:ascii="宋体" w:eastAsia="宋体" w:hAnsi="宋体" w:hint="eastAsia"/>
        </w:rPr>
        <w:lastRenderedPageBreak/>
        <w:t>基金的信息披露</w:t>
      </w:r>
      <w:bookmarkEnd w:id="294"/>
      <w:bookmarkEnd w:id="295"/>
      <w:bookmarkEnd w:id="296"/>
      <w:bookmarkEnd w:id="297"/>
      <w:bookmarkEnd w:id="298"/>
      <w:bookmarkEnd w:id="299"/>
      <w:bookmarkEnd w:id="300"/>
      <w:bookmarkEnd w:id="301"/>
    </w:p>
    <w:p w:rsidR="00822B64" w:rsidRDefault="00822B64">
      <w:pPr>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0"/>
        <w:rPr>
          <w:rFonts w:ascii="宋体" w:hAnsi="宋体"/>
          <w:bCs/>
          <w:szCs w:val="21"/>
        </w:rPr>
      </w:pPr>
      <w:r>
        <w:rPr>
          <w:rFonts w:ascii="宋体" w:hAnsi="宋体"/>
          <w:szCs w:val="21"/>
        </w:rPr>
        <w:t>一、本基金的信息披露应符合《基金法》、《运作办法》、《信息披露办法》、</w:t>
      </w:r>
      <w:r>
        <w:rPr>
          <w:rFonts w:ascii="宋体" w:hAnsi="宋体" w:hint="eastAsia"/>
          <w:szCs w:val="21"/>
        </w:rPr>
        <w:t>《流动性风险管理规定》、</w:t>
      </w:r>
      <w:r>
        <w:rPr>
          <w:rFonts w:ascii="宋体" w:hAnsi="宋体"/>
          <w:szCs w:val="21"/>
        </w:rPr>
        <w:t>《基金合同》及其他有关规定。</w:t>
      </w:r>
      <w:r>
        <w:rPr>
          <w:rFonts w:ascii="宋体" w:hAnsi="宋体" w:hint="eastAsia"/>
          <w:bCs/>
          <w:szCs w:val="21"/>
        </w:rPr>
        <w:t>相关法律法规关于信息披露的规定发生变化时，本基金从其最新规定。</w:t>
      </w:r>
    </w:p>
    <w:p w:rsidR="00822B64" w:rsidRDefault="00822B64">
      <w:pPr>
        <w:adjustRightInd w:val="0"/>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二、信息披露义务人</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本基金信息披露义务人包括基金管理人、基金托管人、召集基金份额持有人大会的基金份额持有人等法律法规和中国证监会规定的自然人、法人和</w:t>
      </w:r>
      <w:r>
        <w:rPr>
          <w:rFonts w:ascii="宋体" w:hAnsi="宋体" w:hint="eastAsia"/>
          <w:bCs/>
          <w:szCs w:val="21"/>
        </w:rPr>
        <w:t>非法人</w:t>
      </w:r>
      <w:r>
        <w:rPr>
          <w:rFonts w:ascii="宋体" w:hAnsi="宋体"/>
          <w:bCs/>
          <w:szCs w:val="21"/>
        </w:rPr>
        <w:t>组织。</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本基金信息披露义务人</w:t>
      </w:r>
      <w:r>
        <w:rPr>
          <w:rFonts w:ascii="宋体" w:hAnsi="宋体" w:hint="eastAsia"/>
          <w:bCs/>
          <w:szCs w:val="21"/>
        </w:rPr>
        <w:t>以保护基金份额持有人利益为根本出发点，</w:t>
      </w:r>
      <w:r>
        <w:rPr>
          <w:rFonts w:ascii="宋体" w:hAnsi="宋体"/>
          <w:bCs/>
          <w:szCs w:val="21"/>
        </w:rPr>
        <w:t>按照法律法规和中国证监会的规定披露基金信息，并保证所披露信息的真实性、准确性</w:t>
      </w:r>
      <w:r>
        <w:rPr>
          <w:rFonts w:ascii="宋体" w:hAnsi="宋体" w:hint="eastAsia"/>
          <w:bCs/>
          <w:szCs w:val="21"/>
        </w:rPr>
        <w:t>、</w:t>
      </w:r>
      <w:r>
        <w:rPr>
          <w:rFonts w:ascii="宋体" w:hAnsi="宋体"/>
          <w:bCs/>
          <w:szCs w:val="21"/>
        </w:rPr>
        <w:t>完整性</w:t>
      </w:r>
      <w:r>
        <w:rPr>
          <w:rFonts w:ascii="宋体" w:hAnsi="宋体" w:hint="eastAsia"/>
          <w:bCs/>
          <w:szCs w:val="21"/>
        </w:rPr>
        <w:t>、及时性、简明性和易得性</w:t>
      </w:r>
      <w:r>
        <w:rPr>
          <w:rFonts w:ascii="宋体" w:hAnsi="宋体"/>
          <w:bCs/>
          <w:szCs w:val="21"/>
        </w:rPr>
        <w:t>。</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本基金信息披露义务人应当在中国证监会规定时间内，将应予披露的基金信息通过</w:t>
      </w:r>
      <w:r>
        <w:rPr>
          <w:rFonts w:ascii="宋体" w:hAnsi="宋体" w:hint="eastAsia"/>
          <w:bCs/>
          <w:szCs w:val="21"/>
        </w:rPr>
        <w:t>符合中国证监会规定条件的全国性报刊（以下简称“规定报刊”）和《信息披露办法》规定的互联网网站（以下简称“规定网站”）等媒介</w:t>
      </w:r>
      <w:r>
        <w:rPr>
          <w:rFonts w:ascii="宋体" w:hAnsi="宋体"/>
          <w:bCs/>
          <w:szCs w:val="21"/>
        </w:rPr>
        <w:t>披露，并保证基金投资者能够按照《基金合同》约定的时间和方式查阅或者复制公开披露的信息资料。</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三、本基金信息披露义务人承诺公开披露的基金信息，不得有下列行为：</w:t>
      </w:r>
    </w:p>
    <w:p w:rsidR="00822B64" w:rsidRDefault="00E92BF7">
      <w:pPr>
        <w:adjustRightInd w:val="0"/>
        <w:snapToGrid w:val="0"/>
        <w:spacing w:line="360" w:lineRule="auto"/>
        <w:ind w:firstLine="420"/>
        <w:rPr>
          <w:rFonts w:ascii="宋体" w:hAnsi="宋体"/>
          <w:szCs w:val="21"/>
        </w:rPr>
      </w:pPr>
      <w:r>
        <w:rPr>
          <w:rFonts w:ascii="宋体" w:hAnsi="宋体"/>
          <w:szCs w:val="21"/>
        </w:rPr>
        <w:t>1、虚假记载、误导性陈述或者重大遗漏；</w:t>
      </w:r>
    </w:p>
    <w:p w:rsidR="00822B64" w:rsidRDefault="00E92BF7">
      <w:pPr>
        <w:adjustRightInd w:val="0"/>
        <w:snapToGrid w:val="0"/>
        <w:spacing w:line="360" w:lineRule="auto"/>
        <w:ind w:firstLine="420"/>
        <w:rPr>
          <w:rFonts w:ascii="宋体" w:hAnsi="宋体"/>
          <w:szCs w:val="21"/>
        </w:rPr>
      </w:pPr>
      <w:r>
        <w:rPr>
          <w:rFonts w:ascii="宋体" w:hAnsi="宋体"/>
          <w:szCs w:val="21"/>
        </w:rPr>
        <w:t>2、对证券投资业绩进行预测；</w:t>
      </w:r>
    </w:p>
    <w:p w:rsidR="00822B64" w:rsidRDefault="00E92BF7">
      <w:pPr>
        <w:adjustRightInd w:val="0"/>
        <w:snapToGrid w:val="0"/>
        <w:spacing w:line="360" w:lineRule="auto"/>
        <w:ind w:firstLine="420"/>
        <w:rPr>
          <w:rFonts w:ascii="宋体" w:hAnsi="宋体"/>
          <w:szCs w:val="21"/>
        </w:rPr>
      </w:pPr>
      <w:r>
        <w:rPr>
          <w:rFonts w:ascii="宋体" w:hAnsi="宋体"/>
          <w:szCs w:val="21"/>
        </w:rPr>
        <w:t>3、违规承诺收益或者承担损失；</w:t>
      </w:r>
    </w:p>
    <w:p w:rsidR="00822B64" w:rsidRDefault="00E92BF7">
      <w:pPr>
        <w:adjustRightInd w:val="0"/>
        <w:snapToGrid w:val="0"/>
        <w:spacing w:line="360" w:lineRule="auto"/>
        <w:ind w:firstLine="420"/>
        <w:rPr>
          <w:rFonts w:ascii="宋体" w:hAnsi="宋体"/>
          <w:szCs w:val="21"/>
        </w:rPr>
      </w:pPr>
      <w:r>
        <w:rPr>
          <w:rFonts w:ascii="宋体" w:hAnsi="宋体"/>
          <w:szCs w:val="21"/>
        </w:rPr>
        <w:t>4、诋毁其他基金管理人、基金托管人或者基金销售机构；</w:t>
      </w:r>
    </w:p>
    <w:p w:rsidR="00822B64" w:rsidRDefault="00E92BF7">
      <w:pPr>
        <w:adjustRightInd w:val="0"/>
        <w:snapToGrid w:val="0"/>
        <w:spacing w:line="360" w:lineRule="auto"/>
        <w:ind w:firstLine="420"/>
        <w:rPr>
          <w:rFonts w:ascii="宋体" w:hAnsi="宋体"/>
          <w:szCs w:val="21"/>
        </w:rPr>
      </w:pPr>
      <w:r>
        <w:rPr>
          <w:rFonts w:ascii="宋体" w:hAnsi="宋体"/>
          <w:szCs w:val="21"/>
        </w:rPr>
        <w:t>5、登载任何自然人、法人</w:t>
      </w:r>
      <w:r>
        <w:rPr>
          <w:rFonts w:ascii="宋体" w:hAnsi="宋体" w:hint="eastAsia"/>
          <w:szCs w:val="21"/>
        </w:rPr>
        <w:t>和非法人</w:t>
      </w:r>
      <w:r>
        <w:rPr>
          <w:rFonts w:ascii="宋体" w:hAnsi="宋体"/>
          <w:szCs w:val="21"/>
        </w:rPr>
        <w:t>组织的祝贺性、恭维性或推荐性的文字；</w:t>
      </w:r>
    </w:p>
    <w:p w:rsidR="00822B64" w:rsidRDefault="00E92BF7">
      <w:pPr>
        <w:adjustRightInd w:val="0"/>
        <w:snapToGrid w:val="0"/>
        <w:spacing w:line="360" w:lineRule="auto"/>
        <w:ind w:firstLine="420"/>
        <w:rPr>
          <w:rFonts w:ascii="宋体" w:hAnsi="宋体"/>
          <w:szCs w:val="21"/>
        </w:rPr>
      </w:pPr>
      <w:r>
        <w:rPr>
          <w:rFonts w:ascii="宋体" w:hAnsi="宋体"/>
          <w:szCs w:val="21"/>
        </w:rPr>
        <w:t>6、中国证监会禁止的其他行为。</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四、本基金公开披露的信息应采用中文文本。如同时采用外文文本的，基金信息披露义务人应保证</w:t>
      </w:r>
      <w:r>
        <w:rPr>
          <w:rFonts w:ascii="宋体" w:hAnsi="宋体" w:hint="eastAsia"/>
          <w:b/>
          <w:szCs w:val="21"/>
        </w:rPr>
        <w:t>不同</w:t>
      </w:r>
      <w:r>
        <w:rPr>
          <w:rFonts w:ascii="宋体" w:hAnsi="宋体"/>
          <w:b/>
          <w:szCs w:val="21"/>
        </w:rPr>
        <w:t>文本的内容一致。</w:t>
      </w:r>
      <w:r>
        <w:rPr>
          <w:rFonts w:ascii="宋体" w:hAnsi="宋体" w:hint="eastAsia"/>
          <w:b/>
          <w:szCs w:val="21"/>
        </w:rPr>
        <w:t>不同</w:t>
      </w:r>
      <w:r>
        <w:rPr>
          <w:rFonts w:ascii="宋体" w:hAnsi="宋体"/>
          <w:b/>
          <w:szCs w:val="21"/>
        </w:rPr>
        <w:t>文本</w:t>
      </w:r>
      <w:r>
        <w:rPr>
          <w:rFonts w:ascii="宋体" w:hAnsi="宋体" w:hint="eastAsia"/>
          <w:b/>
          <w:szCs w:val="21"/>
        </w:rPr>
        <w:t>之间</w:t>
      </w:r>
      <w:r>
        <w:rPr>
          <w:rFonts w:ascii="宋体" w:hAnsi="宋体"/>
          <w:b/>
          <w:szCs w:val="21"/>
        </w:rPr>
        <w:t>发生歧义的，以中文文本为准。</w:t>
      </w:r>
    </w:p>
    <w:p w:rsidR="00822B64" w:rsidRDefault="00E92BF7">
      <w:pPr>
        <w:adjustRightInd w:val="0"/>
        <w:snapToGrid w:val="0"/>
        <w:spacing w:line="360" w:lineRule="auto"/>
        <w:ind w:firstLine="420"/>
        <w:rPr>
          <w:rFonts w:ascii="宋体" w:hAnsi="宋体"/>
          <w:szCs w:val="21"/>
        </w:rPr>
      </w:pPr>
      <w:r>
        <w:rPr>
          <w:rFonts w:ascii="宋体" w:hAnsi="宋体"/>
          <w:szCs w:val="21"/>
        </w:rPr>
        <w:t>本基金公开披露的信息采用阿拉伯数字；除特别说明外，货币单位为人民币元。</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五、公开披露的基金信息</w:t>
      </w:r>
    </w:p>
    <w:p w:rsidR="00822B64" w:rsidRDefault="00E92BF7">
      <w:pPr>
        <w:adjustRightInd w:val="0"/>
        <w:snapToGrid w:val="0"/>
        <w:spacing w:line="360" w:lineRule="auto"/>
        <w:ind w:firstLine="420"/>
        <w:rPr>
          <w:rFonts w:ascii="宋体" w:hAnsi="宋体"/>
          <w:szCs w:val="21"/>
        </w:rPr>
      </w:pPr>
      <w:r>
        <w:rPr>
          <w:rFonts w:ascii="宋体" w:hAnsi="宋体"/>
          <w:szCs w:val="21"/>
        </w:rPr>
        <w:t>公开披露的基金信息包括：</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（一）基金招募说明书、《基金合同》、基金托管协议</w:t>
      </w:r>
      <w:r>
        <w:rPr>
          <w:rFonts w:ascii="宋体" w:hAnsi="宋体" w:hint="eastAsia"/>
          <w:bCs/>
          <w:szCs w:val="21"/>
        </w:rPr>
        <w:t>、基金产品资料概要</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1、《基金合同》是界定《基金合同》当事人的各项权利、义务关系，明确基金份额持</w:t>
      </w:r>
      <w:r>
        <w:rPr>
          <w:rFonts w:ascii="宋体" w:hAnsi="宋体"/>
          <w:bCs/>
          <w:szCs w:val="21"/>
        </w:rPr>
        <w:lastRenderedPageBreak/>
        <w:t>有人大会召开的规则及具体程序，说明基金产品的特性等涉及基金投资者重大利益的事项的法律文件。</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2、基金招募说明书应当最大限度地披露影响基金投资者决策的全部事项，说明基金认购、申购和赎回安排、基金投资、基金产品特性、风险揭示、信息披露及基金份额持有人服务等内容。《基金合同》生效后，</w:t>
      </w:r>
      <w:r>
        <w:rPr>
          <w:rFonts w:ascii="宋体" w:hAnsi="宋体" w:hint="eastAsia"/>
          <w:bCs/>
          <w:szCs w:val="21"/>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r>
        <w:rPr>
          <w:rFonts w:ascii="宋体" w:hAnsi="宋体"/>
          <w:bCs/>
          <w:szCs w:val="21"/>
        </w:rPr>
        <w:t>。</w:t>
      </w:r>
      <w:r>
        <w:rPr>
          <w:rFonts w:ascii="宋体" w:hAnsi="宋体" w:hint="eastAsia"/>
          <w:bCs/>
          <w:szCs w:val="21"/>
        </w:rPr>
        <w:t>本基金暂停运作的期间，不更新招募说明书。</w:t>
      </w:r>
    </w:p>
    <w:p w:rsidR="00822B64" w:rsidRDefault="00E92BF7">
      <w:pPr>
        <w:adjustRightInd w:val="0"/>
        <w:snapToGrid w:val="0"/>
        <w:spacing w:line="360" w:lineRule="auto"/>
        <w:ind w:firstLine="420"/>
        <w:rPr>
          <w:rFonts w:ascii="宋体" w:hAnsi="宋体"/>
          <w:bCs/>
          <w:szCs w:val="21"/>
        </w:rPr>
      </w:pPr>
      <w:r>
        <w:rPr>
          <w:rFonts w:ascii="宋体" w:hAnsi="宋体"/>
          <w:bCs/>
          <w:szCs w:val="21"/>
        </w:rPr>
        <w:t>3、基金托管协议是界定基金托管人和基金管理人在基金财产保管及基金运作监督等活动中的权利、义务关系的法律文件。</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本基金暂停运作的期间，不更新基金产品资料概要。</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基金募集申请经中国证监会</w:t>
      </w:r>
      <w:r>
        <w:rPr>
          <w:rFonts w:ascii="宋体" w:hAnsi="宋体" w:hint="eastAsia"/>
          <w:bCs/>
          <w:szCs w:val="21"/>
        </w:rPr>
        <w:t>注册</w:t>
      </w:r>
      <w:r>
        <w:rPr>
          <w:rFonts w:ascii="宋体" w:hAnsi="宋体"/>
          <w:bCs/>
          <w:szCs w:val="21"/>
        </w:rPr>
        <w:t>后，基金管理人在基金份额发售的</w:t>
      </w:r>
      <w:r>
        <w:rPr>
          <w:rFonts w:ascii="宋体" w:hAnsi="宋体" w:hint="eastAsia"/>
          <w:bCs/>
          <w:szCs w:val="21"/>
        </w:rPr>
        <w:t>三</w:t>
      </w:r>
      <w:r>
        <w:rPr>
          <w:rFonts w:ascii="宋体" w:hAnsi="宋体"/>
          <w:bCs/>
          <w:szCs w:val="21"/>
        </w:rPr>
        <w:t>日前，将</w:t>
      </w:r>
      <w:r>
        <w:rPr>
          <w:rFonts w:ascii="宋体" w:hAnsi="宋体" w:hint="eastAsia"/>
          <w:bCs/>
          <w:szCs w:val="21"/>
        </w:rPr>
        <w:t>基金份额发售公告、</w:t>
      </w:r>
      <w:r>
        <w:rPr>
          <w:rFonts w:ascii="宋体" w:hAnsi="宋体"/>
          <w:bCs/>
          <w:szCs w:val="21"/>
        </w:rPr>
        <w:t>基金招募说明书</w:t>
      </w:r>
      <w:r>
        <w:rPr>
          <w:rFonts w:ascii="宋体" w:hAnsi="宋体" w:hint="eastAsia"/>
          <w:bCs/>
          <w:szCs w:val="21"/>
        </w:rPr>
        <w:t>提示性公告和</w:t>
      </w:r>
      <w:r>
        <w:rPr>
          <w:rFonts w:ascii="宋体" w:hAnsi="宋体"/>
          <w:bCs/>
          <w:szCs w:val="21"/>
        </w:rPr>
        <w:t>《基金合同》</w:t>
      </w:r>
      <w:r>
        <w:rPr>
          <w:rFonts w:ascii="宋体" w:hAnsi="宋体" w:hint="eastAsia"/>
          <w:bCs/>
          <w:szCs w:val="21"/>
        </w:rPr>
        <w:t>提示性公告登载在规定报刊上，将基金份额发售公告、基金招募说明书、基金产品资料概要、《基金合同》和基金托管协议登载在规定网站上，并将基金产品资料概要登载在基金销售机构网站或营业网点；基金托管人应当同时将</w:t>
      </w:r>
      <w:r>
        <w:rPr>
          <w:rFonts w:ascii="宋体" w:hAnsi="宋体"/>
          <w:bCs/>
          <w:szCs w:val="21"/>
        </w:rPr>
        <w:t>《基金合同》、基金托管协议登载在</w:t>
      </w:r>
      <w:r>
        <w:rPr>
          <w:rFonts w:ascii="宋体" w:hAnsi="宋体" w:hint="eastAsia"/>
          <w:bCs/>
          <w:szCs w:val="21"/>
        </w:rPr>
        <w:t>规定网站</w:t>
      </w:r>
      <w:r>
        <w:rPr>
          <w:rFonts w:ascii="宋体" w:hAnsi="宋体"/>
          <w:bCs/>
          <w:szCs w:val="21"/>
        </w:rPr>
        <w:t>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（二）基金份额发售公告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基金管理人应当就基金份额发售的具体事宜编制基金份额发售公告，并在披露招募说明书的当日登载于规定媒介上。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（三）《基金合同》生效公告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基金管理人应当在收到中国证监会确认文件的次日在规定媒介上登载《基金合同》生效公告。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（四）基金净值信息</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《基金合同》生效后，在</w:t>
      </w:r>
      <w:r>
        <w:rPr>
          <w:rFonts w:ascii="宋体" w:hAnsi="宋体" w:hint="eastAsia"/>
          <w:bCs/>
          <w:szCs w:val="21"/>
        </w:rPr>
        <w:t>封闭期内</w:t>
      </w:r>
      <w:r>
        <w:rPr>
          <w:rFonts w:ascii="宋体" w:hAnsi="宋体"/>
          <w:bCs/>
          <w:szCs w:val="21"/>
        </w:rPr>
        <w:t>，基金管理人应当至少每周</w:t>
      </w:r>
      <w:r>
        <w:rPr>
          <w:rFonts w:ascii="宋体" w:hAnsi="宋体" w:hint="eastAsia"/>
          <w:bCs/>
          <w:szCs w:val="21"/>
        </w:rPr>
        <w:t>在规定网站披露</w:t>
      </w:r>
      <w:r>
        <w:rPr>
          <w:rFonts w:ascii="宋体" w:hAnsi="宋体"/>
          <w:bCs/>
          <w:szCs w:val="21"/>
        </w:rPr>
        <w:t>一次基金份额净值</w:t>
      </w:r>
      <w:r>
        <w:rPr>
          <w:rFonts w:ascii="宋体" w:hAnsi="宋体" w:hint="eastAsia"/>
          <w:bCs/>
          <w:szCs w:val="21"/>
        </w:rPr>
        <w:t>和基金份额累计净值</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在</w:t>
      </w:r>
      <w:r>
        <w:rPr>
          <w:rFonts w:ascii="宋体" w:hAnsi="宋体" w:hint="eastAsia"/>
          <w:bCs/>
          <w:szCs w:val="21"/>
        </w:rPr>
        <w:t>开放期内</w:t>
      </w:r>
      <w:r>
        <w:rPr>
          <w:rFonts w:ascii="宋体" w:hAnsi="宋体"/>
          <w:bCs/>
          <w:szCs w:val="21"/>
        </w:rPr>
        <w:t>，基金管理人应当在</w:t>
      </w:r>
      <w:r>
        <w:rPr>
          <w:rFonts w:ascii="宋体" w:hAnsi="宋体" w:hint="eastAsia"/>
          <w:bCs/>
          <w:szCs w:val="21"/>
        </w:rPr>
        <w:t>不晚于</w:t>
      </w:r>
      <w:r>
        <w:rPr>
          <w:rFonts w:ascii="宋体" w:hAnsi="宋体"/>
          <w:bCs/>
          <w:szCs w:val="21"/>
        </w:rPr>
        <w:t>每个开放日的次日，通过</w:t>
      </w:r>
      <w:r>
        <w:rPr>
          <w:rFonts w:ascii="宋体" w:hAnsi="宋体" w:hint="eastAsia"/>
          <w:bCs/>
          <w:szCs w:val="21"/>
        </w:rPr>
        <w:t>规定</w:t>
      </w:r>
      <w:r>
        <w:rPr>
          <w:rFonts w:ascii="宋体" w:hAnsi="宋体"/>
          <w:bCs/>
          <w:szCs w:val="21"/>
        </w:rPr>
        <w:t>网站、基金</w:t>
      </w:r>
      <w:r>
        <w:rPr>
          <w:rFonts w:ascii="宋体" w:hAnsi="宋体" w:hint="eastAsia"/>
          <w:bCs/>
          <w:szCs w:val="21"/>
        </w:rPr>
        <w:t>销售机构网站或者营业网点</w:t>
      </w:r>
      <w:r>
        <w:rPr>
          <w:rFonts w:ascii="宋体" w:hAnsi="宋体"/>
          <w:bCs/>
          <w:szCs w:val="21"/>
        </w:rPr>
        <w:t>披露开放日的基金份额净值和基金份额累计净值。</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w:t>
      </w:r>
      <w:r>
        <w:rPr>
          <w:rFonts w:ascii="宋体" w:hAnsi="宋体" w:hint="eastAsia"/>
          <w:bCs/>
          <w:szCs w:val="21"/>
        </w:rPr>
        <w:t>在不晚于半年度和年度最后一日的次日，在规定网站披露半年度和年度最后一日的基金份额净值和基金份额累计净值</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lastRenderedPageBreak/>
        <w:t>如本基金暂停运作</w:t>
      </w:r>
      <w:r>
        <w:rPr>
          <w:rFonts w:ascii="宋体" w:hAnsi="宋体" w:hint="eastAsia"/>
          <w:bCs/>
          <w:szCs w:val="21"/>
        </w:rPr>
        <w:t>，</w:t>
      </w:r>
      <w:r>
        <w:rPr>
          <w:rFonts w:ascii="宋体" w:hAnsi="宋体"/>
          <w:bCs/>
          <w:szCs w:val="21"/>
        </w:rPr>
        <w:t>不披露基金份额净值和基金份额累计净值</w:t>
      </w:r>
      <w:r>
        <w:rPr>
          <w:rFonts w:ascii="宋体" w:hAnsi="宋体" w:hint="eastAsia"/>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（五）基金份额申购、赎回价格</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基金管理人应当在《基金合同》、招募说明书等信息披露文件上载明基金份额申购、赎回价格的计算方式及有关申购、赎回费率，并保证投资者能够在基金</w:t>
      </w:r>
      <w:r>
        <w:rPr>
          <w:rFonts w:ascii="宋体" w:hAnsi="宋体" w:hint="eastAsia"/>
          <w:bCs/>
          <w:szCs w:val="21"/>
        </w:rPr>
        <w:t>销售机构网站或营业网点</w:t>
      </w:r>
      <w:r>
        <w:rPr>
          <w:rFonts w:ascii="宋体" w:hAnsi="宋体"/>
          <w:bCs/>
          <w:szCs w:val="21"/>
        </w:rPr>
        <w:t>查阅或者复制前述信息资料。</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（六）基金定期报告，包括基金年度报告、基金</w:t>
      </w:r>
      <w:r>
        <w:rPr>
          <w:rFonts w:ascii="宋体" w:hAnsi="宋体" w:hint="eastAsia"/>
          <w:bCs/>
          <w:szCs w:val="21"/>
        </w:rPr>
        <w:t>中期</w:t>
      </w:r>
      <w:r>
        <w:rPr>
          <w:rFonts w:ascii="宋体" w:hAnsi="宋体"/>
          <w:bCs/>
          <w:szCs w:val="21"/>
        </w:rPr>
        <w:t>报告和基金季度报告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基金管理人应当在每年结束之日起</w:t>
      </w:r>
      <w:r>
        <w:rPr>
          <w:rFonts w:ascii="宋体" w:hAnsi="宋体" w:hint="eastAsia"/>
          <w:bCs/>
          <w:szCs w:val="21"/>
        </w:rPr>
        <w:t>三个月</w:t>
      </w:r>
      <w:r>
        <w:rPr>
          <w:rFonts w:ascii="宋体" w:hAnsi="宋体"/>
          <w:bCs/>
          <w:szCs w:val="21"/>
        </w:rPr>
        <w:t>内，编制完成基金年度报告，</w:t>
      </w:r>
      <w:r>
        <w:rPr>
          <w:rFonts w:ascii="宋体" w:hAnsi="宋体" w:hint="eastAsia"/>
          <w:bCs/>
          <w:szCs w:val="21"/>
        </w:rPr>
        <w:t>将年度报告登载在规定网站上，并将年度报告提示性公告登载在规定报刊上</w:t>
      </w:r>
      <w:r>
        <w:rPr>
          <w:rFonts w:ascii="宋体" w:hAnsi="宋体"/>
          <w:bCs/>
          <w:szCs w:val="21"/>
        </w:rPr>
        <w:t>。基金年度报告中的财务会计报告应当经过</w:t>
      </w:r>
      <w:r>
        <w:rPr>
          <w:rFonts w:ascii="宋体" w:hAnsi="宋体" w:hint="eastAsia"/>
          <w:bCs/>
          <w:szCs w:val="21"/>
        </w:rPr>
        <w:t>符合《中华人民共和国证券法》规定的会计师事务所</w:t>
      </w:r>
      <w:r>
        <w:rPr>
          <w:rFonts w:ascii="宋体" w:hAnsi="宋体"/>
          <w:bCs/>
          <w:szCs w:val="21"/>
        </w:rPr>
        <w:t>审计。</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基金管理人应当在上半年结束之日起</w:t>
      </w:r>
      <w:r>
        <w:rPr>
          <w:rFonts w:ascii="宋体" w:hAnsi="宋体" w:hint="eastAsia"/>
          <w:bCs/>
          <w:szCs w:val="21"/>
        </w:rPr>
        <w:t>两个月</w:t>
      </w:r>
      <w:r>
        <w:rPr>
          <w:rFonts w:ascii="宋体" w:hAnsi="宋体"/>
          <w:bCs/>
          <w:szCs w:val="21"/>
        </w:rPr>
        <w:t>内，编制完成基金</w:t>
      </w:r>
      <w:r>
        <w:rPr>
          <w:rFonts w:ascii="宋体" w:hAnsi="宋体" w:hint="eastAsia"/>
          <w:bCs/>
          <w:szCs w:val="21"/>
        </w:rPr>
        <w:t>中期</w:t>
      </w:r>
      <w:r>
        <w:rPr>
          <w:rFonts w:ascii="宋体" w:hAnsi="宋体"/>
          <w:bCs/>
          <w:szCs w:val="21"/>
        </w:rPr>
        <w:t>报告，将</w:t>
      </w:r>
      <w:r>
        <w:rPr>
          <w:rFonts w:ascii="宋体" w:hAnsi="宋体" w:hint="eastAsia"/>
          <w:bCs/>
          <w:szCs w:val="21"/>
        </w:rPr>
        <w:t>中期</w:t>
      </w:r>
      <w:r>
        <w:rPr>
          <w:rFonts w:ascii="宋体" w:hAnsi="宋体"/>
          <w:bCs/>
          <w:szCs w:val="21"/>
        </w:rPr>
        <w:t>报告</w:t>
      </w:r>
      <w:r>
        <w:rPr>
          <w:rFonts w:ascii="宋体" w:hAnsi="宋体" w:hint="eastAsia"/>
          <w:bCs/>
          <w:szCs w:val="21"/>
        </w:rPr>
        <w:t>登载在规定网站上，并将中期报告提示性公告登载在规定报刊上</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基金管理人应当在季度结束之日起15个工作日内，编制完成基金季度报告，</w:t>
      </w:r>
      <w:r>
        <w:rPr>
          <w:rFonts w:ascii="宋体" w:hAnsi="宋体" w:hint="eastAsia"/>
          <w:bCs/>
          <w:szCs w:val="21"/>
        </w:rPr>
        <w:t>将季度报告登载在规定网站上，</w:t>
      </w:r>
      <w:r>
        <w:rPr>
          <w:rFonts w:ascii="宋体" w:hAnsi="宋体"/>
          <w:bCs/>
          <w:szCs w:val="21"/>
        </w:rPr>
        <w:t>并将季度报告</w:t>
      </w:r>
      <w:r>
        <w:rPr>
          <w:rFonts w:ascii="宋体" w:hAnsi="宋体" w:hint="eastAsia"/>
          <w:bCs/>
          <w:szCs w:val="21"/>
        </w:rPr>
        <w:t>提示性公告</w:t>
      </w:r>
      <w:r>
        <w:rPr>
          <w:rFonts w:ascii="宋体" w:hAnsi="宋体"/>
          <w:bCs/>
          <w:szCs w:val="21"/>
        </w:rPr>
        <w:t>登载在</w:t>
      </w:r>
      <w:r>
        <w:rPr>
          <w:rFonts w:ascii="宋体" w:hAnsi="宋体" w:hint="eastAsia"/>
          <w:bCs/>
          <w:szCs w:val="21"/>
        </w:rPr>
        <w:t>规定报刊</w:t>
      </w:r>
      <w:r>
        <w:rPr>
          <w:rFonts w:ascii="宋体" w:hAnsi="宋体"/>
          <w:bCs/>
          <w:szCs w:val="21"/>
        </w:rPr>
        <w:t>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《基金合同》生效不足2个月的，基金管理人可以不编制当期季度报告、</w:t>
      </w:r>
      <w:r>
        <w:rPr>
          <w:rFonts w:ascii="宋体" w:hAnsi="宋体" w:hint="eastAsia"/>
          <w:bCs/>
          <w:szCs w:val="21"/>
        </w:rPr>
        <w:t>中期</w:t>
      </w:r>
      <w:r>
        <w:rPr>
          <w:rFonts w:ascii="宋体" w:hAnsi="宋体"/>
          <w:bCs/>
          <w:szCs w:val="21"/>
        </w:rPr>
        <w:t>报告或者年度报告。本基金暂停运作期间</w:t>
      </w:r>
      <w:r>
        <w:rPr>
          <w:rFonts w:ascii="宋体" w:hAnsi="宋体" w:hint="eastAsia"/>
          <w:bCs/>
          <w:szCs w:val="21"/>
        </w:rPr>
        <w:t>，</w:t>
      </w:r>
      <w:r>
        <w:rPr>
          <w:rFonts w:ascii="宋体" w:hAnsi="宋体"/>
          <w:bCs/>
          <w:szCs w:val="21"/>
        </w:rPr>
        <w:t>不再编制定期报告</w:t>
      </w:r>
      <w:r>
        <w:rPr>
          <w:rFonts w:ascii="宋体" w:hAnsi="宋体" w:hint="eastAsia"/>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如报告期内出现单一投资者持有基金份额达到或超过基金总份额</w:t>
      </w:r>
      <w:r>
        <w:rPr>
          <w:rFonts w:ascii="宋体" w:hAnsi="宋体"/>
          <w:bCs/>
          <w:szCs w:val="21"/>
        </w:rPr>
        <w:t>20%</w:t>
      </w:r>
      <w:r>
        <w:rPr>
          <w:rFonts w:ascii="宋体" w:hAnsi="宋体" w:hint="eastAsia"/>
          <w:bCs/>
          <w:szCs w:val="21"/>
        </w:rPr>
        <w:t>的情形</w:t>
      </w:r>
      <w:r>
        <w:rPr>
          <w:rFonts w:ascii="宋体" w:hAnsi="宋体"/>
          <w:bCs/>
          <w:szCs w:val="21"/>
        </w:rPr>
        <w:t xml:space="preserve">, </w:t>
      </w:r>
      <w:r>
        <w:rPr>
          <w:rFonts w:ascii="宋体" w:hAnsi="宋体" w:hint="eastAsia"/>
          <w:bCs/>
          <w:szCs w:val="21"/>
        </w:rPr>
        <w:t>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基金持续运作过程中，应当在基金年度报告和中期报告中披露基金组合资产情况及其流动性风险分析等。</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基金管理人在封闭期内采取处置信用风险显著增加的固定收益品种或计提资产减值准备等风险应对措施的，应当在基金定期报告中披露。</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（七）临时报告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本基金发生重大事件，有关信息披露义务人应当在2日内编制临时报告书，</w:t>
      </w:r>
      <w:r>
        <w:rPr>
          <w:rFonts w:ascii="宋体" w:hAnsi="宋体" w:hint="eastAsia"/>
          <w:bCs/>
          <w:szCs w:val="21"/>
        </w:rPr>
        <w:t>并登载在规定报刊和规定网站上</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前款所称重大事件，是指可能对基金份额持有人权益或者基金份额的价格产生重大影响的下列事件：</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1、基金份额持有人大会的召开</w:t>
      </w:r>
      <w:r>
        <w:rPr>
          <w:rFonts w:ascii="宋体" w:hAnsi="宋体" w:hint="eastAsia"/>
          <w:bCs/>
          <w:szCs w:val="21"/>
        </w:rPr>
        <w:t>及决定的事项</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w:t>
      </w:r>
      <w:r>
        <w:rPr>
          <w:rFonts w:ascii="宋体" w:hAnsi="宋体" w:hint="eastAsia"/>
          <w:bCs/>
          <w:szCs w:val="21"/>
        </w:rPr>
        <w:t>《</w:t>
      </w:r>
      <w:r>
        <w:rPr>
          <w:rFonts w:ascii="宋体" w:hAnsi="宋体"/>
          <w:bCs/>
          <w:szCs w:val="21"/>
        </w:rPr>
        <w:t>基金合同</w:t>
      </w:r>
      <w:r>
        <w:rPr>
          <w:rFonts w:ascii="宋体" w:hAnsi="宋体" w:hint="eastAsia"/>
          <w:bCs/>
          <w:szCs w:val="21"/>
        </w:rPr>
        <w:t>》终止、基金清算</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3、转换基金运作方式</w:t>
      </w:r>
      <w:r>
        <w:rPr>
          <w:rFonts w:ascii="宋体" w:hAnsi="宋体" w:hint="eastAsia"/>
          <w:bCs/>
          <w:szCs w:val="21"/>
        </w:rPr>
        <w:t>（不包括本基金开放期与封闭期运作方式的转换及暂停运作）、基金合并</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4、更换基金管理人、基金托管人</w:t>
      </w:r>
      <w:r>
        <w:rPr>
          <w:rFonts w:ascii="宋体" w:hAnsi="宋体" w:hint="eastAsia"/>
          <w:bCs/>
          <w:szCs w:val="21"/>
        </w:rPr>
        <w:t>、基金份额登记机构，基金改聘会计师事务所</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5</w:t>
      </w:r>
      <w:r>
        <w:rPr>
          <w:rFonts w:ascii="宋体" w:hAnsi="宋体" w:hint="eastAsia"/>
          <w:bCs/>
          <w:szCs w:val="21"/>
        </w:rPr>
        <w:t>、基金管理人委托基金服务机构代为办理基金的份额登记、核算、估值等事项，基金</w:t>
      </w:r>
      <w:r>
        <w:rPr>
          <w:rFonts w:ascii="宋体" w:hAnsi="宋体" w:hint="eastAsia"/>
          <w:bCs/>
          <w:szCs w:val="21"/>
        </w:rPr>
        <w:lastRenderedPageBreak/>
        <w:t>托管人委托基金服务机构代为办理基金的核算、估值、复核等事项；</w:t>
      </w:r>
    </w:p>
    <w:p w:rsidR="00822B64" w:rsidRDefault="00E92BF7">
      <w:pPr>
        <w:adjustRightInd w:val="0"/>
        <w:snapToGrid w:val="0"/>
        <w:spacing w:line="360" w:lineRule="auto"/>
        <w:ind w:firstLine="420"/>
        <w:rPr>
          <w:rFonts w:ascii="宋体" w:hAnsi="宋体"/>
          <w:bCs/>
          <w:szCs w:val="21"/>
        </w:rPr>
      </w:pPr>
      <w:r>
        <w:rPr>
          <w:rFonts w:ascii="宋体" w:hAnsi="宋体"/>
          <w:bCs/>
          <w:szCs w:val="21"/>
        </w:rPr>
        <w:t>6、基金管理人、基金托管人的法定名称、住所发生变更；</w:t>
      </w:r>
    </w:p>
    <w:p w:rsidR="00822B64" w:rsidRDefault="00E92BF7">
      <w:pPr>
        <w:adjustRightInd w:val="0"/>
        <w:snapToGrid w:val="0"/>
        <w:spacing w:line="360" w:lineRule="auto"/>
        <w:ind w:firstLine="420"/>
        <w:rPr>
          <w:rFonts w:ascii="宋体" w:hAnsi="宋体"/>
          <w:bCs/>
          <w:szCs w:val="21"/>
        </w:rPr>
      </w:pPr>
      <w:r>
        <w:rPr>
          <w:rFonts w:ascii="宋体" w:hAnsi="宋体"/>
          <w:bCs/>
          <w:szCs w:val="21"/>
        </w:rPr>
        <w:t>7、基金管理人</w:t>
      </w:r>
      <w:r>
        <w:rPr>
          <w:rFonts w:ascii="宋体" w:hAnsi="宋体" w:hint="eastAsia"/>
          <w:bCs/>
          <w:szCs w:val="21"/>
        </w:rPr>
        <w:t>变更持有百分之五以上股权的股东、基金管理人的实际控制人变更</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8、基金募集期延长</w:t>
      </w:r>
      <w:r>
        <w:rPr>
          <w:rFonts w:ascii="宋体" w:hAnsi="宋体" w:hint="eastAsia"/>
          <w:bCs/>
          <w:szCs w:val="21"/>
        </w:rPr>
        <w:t>或提前结束募集</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9、基金管理人的高级管理人员、基金经理和基金托管人</w:t>
      </w:r>
      <w:r>
        <w:rPr>
          <w:rFonts w:ascii="宋体" w:hAnsi="宋体" w:hint="eastAsia"/>
          <w:bCs/>
          <w:szCs w:val="21"/>
        </w:rPr>
        <w:t>专门</w:t>
      </w:r>
      <w:r>
        <w:rPr>
          <w:rFonts w:ascii="宋体" w:hAnsi="宋体"/>
          <w:bCs/>
          <w:szCs w:val="21"/>
        </w:rPr>
        <w:t>基金托管部门负责人发生变动；</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10、基金管理人的董事在</w:t>
      </w:r>
      <w:r>
        <w:rPr>
          <w:rFonts w:ascii="宋体" w:hAnsi="宋体" w:hint="eastAsia"/>
          <w:bCs/>
          <w:szCs w:val="21"/>
        </w:rPr>
        <w:t>最近12个月</w:t>
      </w:r>
      <w:r>
        <w:rPr>
          <w:rFonts w:ascii="宋体" w:hAnsi="宋体"/>
          <w:bCs/>
          <w:szCs w:val="21"/>
        </w:rPr>
        <w:t>内变更超过百分之五十</w:t>
      </w:r>
      <w:r>
        <w:rPr>
          <w:rFonts w:ascii="宋体" w:hAnsi="宋体" w:hint="eastAsia"/>
          <w:bCs/>
          <w:szCs w:val="21"/>
        </w:rPr>
        <w:t>，</w:t>
      </w:r>
      <w:r>
        <w:rPr>
          <w:rFonts w:ascii="宋体" w:hAnsi="宋体"/>
          <w:bCs/>
          <w:szCs w:val="21"/>
        </w:rPr>
        <w:t>基金管理人、基金托管人</w:t>
      </w:r>
      <w:r>
        <w:rPr>
          <w:rFonts w:ascii="宋体" w:hAnsi="宋体" w:hint="eastAsia"/>
          <w:bCs/>
          <w:szCs w:val="21"/>
        </w:rPr>
        <w:t>专门</w:t>
      </w:r>
      <w:r>
        <w:rPr>
          <w:rFonts w:ascii="宋体" w:hAnsi="宋体"/>
          <w:bCs/>
          <w:szCs w:val="21"/>
        </w:rPr>
        <w:t>基金托管部门的主要业务人员在</w:t>
      </w:r>
      <w:r>
        <w:rPr>
          <w:rFonts w:ascii="宋体" w:hAnsi="宋体" w:hint="eastAsia"/>
          <w:bCs/>
          <w:szCs w:val="21"/>
        </w:rPr>
        <w:t>最近12个月</w:t>
      </w:r>
      <w:r>
        <w:rPr>
          <w:rFonts w:ascii="宋体" w:hAnsi="宋体"/>
          <w:bCs/>
          <w:szCs w:val="21"/>
        </w:rPr>
        <w:t>内变动超过百分之三十；</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11、涉及基金财产、</w:t>
      </w:r>
      <w:r>
        <w:rPr>
          <w:rFonts w:ascii="宋体" w:hAnsi="宋体" w:hint="eastAsia"/>
          <w:bCs/>
          <w:szCs w:val="21"/>
        </w:rPr>
        <w:t>基金管理业务、</w:t>
      </w:r>
      <w:r>
        <w:rPr>
          <w:rFonts w:ascii="宋体" w:hAnsi="宋体"/>
          <w:bCs/>
          <w:szCs w:val="21"/>
        </w:rPr>
        <w:t>基金托管业务的诉讼</w:t>
      </w:r>
      <w:r>
        <w:rPr>
          <w:rFonts w:ascii="宋体" w:hAnsi="宋体" w:hint="eastAsia"/>
          <w:bCs/>
          <w:szCs w:val="21"/>
        </w:rPr>
        <w:t>或仲裁</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12、</w:t>
      </w:r>
      <w:r>
        <w:rPr>
          <w:rFonts w:ascii="宋体" w:hAnsi="宋体"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13、</w:t>
      </w:r>
      <w:r>
        <w:rPr>
          <w:rFonts w:ascii="宋体" w:hAnsi="宋体" w:hint="eastAsia"/>
          <w:bCs/>
          <w:szCs w:val="21"/>
        </w:rPr>
        <w:t>基金管理人运用基金财产买卖基金管理人、基金托管人及其控股股东、实际控制人或者与其有重大利害关系的公司发行的证券或者承销期内承销的证券，或者从事其他</w:t>
      </w:r>
      <w:r>
        <w:rPr>
          <w:rFonts w:ascii="宋体" w:hAnsi="宋体"/>
          <w:bCs/>
          <w:szCs w:val="21"/>
        </w:rPr>
        <w:t>重大关联交易事项</w:t>
      </w:r>
      <w:r>
        <w:rPr>
          <w:rFonts w:ascii="宋体" w:hAnsi="宋体" w:hint="eastAsia"/>
          <w:bCs/>
          <w:szCs w:val="21"/>
        </w:rPr>
        <w:t>，但中国证监会另有规定的除外</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14、基金收益分配事项；</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15、管理费、托管费</w:t>
      </w:r>
      <w:r>
        <w:rPr>
          <w:rFonts w:ascii="宋体" w:hAnsi="宋体" w:hint="eastAsia"/>
          <w:bCs/>
          <w:szCs w:val="21"/>
        </w:rPr>
        <w:t>、申购费、赎回费</w:t>
      </w:r>
      <w:r>
        <w:rPr>
          <w:rFonts w:ascii="宋体" w:hAnsi="宋体"/>
          <w:bCs/>
          <w:szCs w:val="21"/>
        </w:rPr>
        <w:t>等费用计提标准、计提方式和费率发生变更；</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16、基金份额净值</w:t>
      </w:r>
      <w:r>
        <w:rPr>
          <w:rFonts w:ascii="宋体" w:hAnsi="宋体" w:hint="eastAsia"/>
          <w:bCs/>
          <w:szCs w:val="21"/>
        </w:rPr>
        <w:t>计价</w:t>
      </w:r>
      <w:r>
        <w:rPr>
          <w:rFonts w:ascii="宋体" w:hAnsi="宋体"/>
          <w:bCs/>
          <w:szCs w:val="21"/>
        </w:rPr>
        <w:t>错误达基金份额净值百分之零点五；</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17、</w:t>
      </w:r>
      <w:r>
        <w:rPr>
          <w:rFonts w:ascii="宋体" w:hAnsi="宋体" w:hint="eastAsia"/>
          <w:bCs/>
          <w:szCs w:val="21"/>
        </w:rPr>
        <w:t>基金暂停或恢复运作；</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18</w:t>
      </w:r>
      <w:r>
        <w:rPr>
          <w:rFonts w:ascii="宋体" w:hAnsi="宋体" w:hint="eastAsia"/>
          <w:bCs/>
          <w:szCs w:val="21"/>
        </w:rPr>
        <w:t>、</w:t>
      </w:r>
      <w:r>
        <w:rPr>
          <w:rFonts w:ascii="宋体" w:hAnsi="宋体"/>
          <w:bCs/>
          <w:szCs w:val="21"/>
        </w:rPr>
        <w:t>本基金</w:t>
      </w:r>
      <w:r>
        <w:rPr>
          <w:rFonts w:ascii="宋体" w:hAnsi="宋体" w:hint="eastAsia"/>
          <w:bCs/>
          <w:szCs w:val="21"/>
        </w:rPr>
        <w:t>进入开放期</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1</w:t>
      </w:r>
      <w:r>
        <w:rPr>
          <w:rFonts w:ascii="宋体" w:hAnsi="宋体" w:hint="eastAsia"/>
          <w:bCs/>
          <w:szCs w:val="21"/>
        </w:rPr>
        <w:t>9</w:t>
      </w:r>
      <w:r>
        <w:rPr>
          <w:rFonts w:ascii="宋体" w:hAnsi="宋体"/>
          <w:bCs/>
          <w:szCs w:val="21"/>
        </w:rPr>
        <w:t>、本基金在开放期发生巨额赎回并</w:t>
      </w:r>
      <w:r>
        <w:rPr>
          <w:rFonts w:ascii="宋体" w:hAnsi="宋体" w:hint="eastAsia"/>
          <w:bCs/>
          <w:szCs w:val="21"/>
        </w:rPr>
        <w:t>延缓支付赎回款项</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20、本基金</w:t>
      </w:r>
      <w:r>
        <w:rPr>
          <w:rFonts w:ascii="宋体" w:hAnsi="宋体" w:hint="eastAsia"/>
          <w:bCs/>
          <w:szCs w:val="21"/>
        </w:rPr>
        <w:t>在开放期内</w:t>
      </w:r>
      <w:r>
        <w:rPr>
          <w:rFonts w:ascii="宋体" w:hAnsi="宋体"/>
          <w:bCs/>
          <w:szCs w:val="21"/>
        </w:rPr>
        <w:t>暂停接受申购、赎回申请</w:t>
      </w:r>
      <w:r>
        <w:rPr>
          <w:rFonts w:ascii="宋体" w:hAnsi="宋体" w:hint="eastAsia"/>
          <w:bCs/>
          <w:szCs w:val="21"/>
        </w:rPr>
        <w:t>或</w:t>
      </w:r>
      <w:r>
        <w:rPr>
          <w:rFonts w:ascii="宋体" w:hAnsi="宋体"/>
          <w:bCs/>
          <w:szCs w:val="21"/>
        </w:rPr>
        <w:t>重新接受申购、赎回</w:t>
      </w:r>
      <w:r>
        <w:rPr>
          <w:rFonts w:ascii="宋体" w:hAnsi="宋体" w:hint="eastAsia"/>
          <w:bCs/>
          <w:szCs w:val="21"/>
        </w:rPr>
        <w:t>申请</w:t>
      </w:r>
      <w:r>
        <w:rPr>
          <w:rFonts w:ascii="宋体" w:hAnsi="宋体"/>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21</w:t>
      </w:r>
      <w:r>
        <w:rPr>
          <w:rFonts w:ascii="宋体" w:hAnsi="宋体" w:hint="eastAsia"/>
          <w:bCs/>
          <w:szCs w:val="21"/>
        </w:rPr>
        <w:t>、调整基金份额类别的设置；</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22</w:t>
      </w:r>
      <w:r>
        <w:rPr>
          <w:rFonts w:ascii="宋体" w:hAnsi="宋体" w:hint="eastAsia"/>
          <w:bCs/>
          <w:szCs w:val="21"/>
        </w:rPr>
        <w:t>、开放期内发生涉及基金申购、赎回事项调整或潜在影响投资者赎回等重大事项；</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23</w:t>
      </w:r>
      <w:r>
        <w:rPr>
          <w:rFonts w:ascii="宋体" w:hAnsi="宋体" w:hint="eastAsia"/>
          <w:bCs/>
          <w:szCs w:val="21"/>
        </w:rPr>
        <w:t>、基金管理人采用摆动定价机制进行估值；</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24</w:t>
      </w:r>
      <w:r>
        <w:rPr>
          <w:rFonts w:ascii="宋体" w:hAnsi="宋体" w:hint="eastAsia"/>
          <w:bCs/>
          <w:szCs w:val="21"/>
        </w:rPr>
        <w:t>、封闭期到期</w:t>
      </w:r>
      <w:r>
        <w:rPr>
          <w:rFonts w:ascii="宋体" w:hAnsi="宋体"/>
          <w:bCs/>
          <w:szCs w:val="21"/>
        </w:rPr>
        <w:t>时持有尚未处置完毕的违约债券的情形</w:t>
      </w:r>
      <w:r>
        <w:rPr>
          <w:rFonts w:ascii="宋体" w:hAnsi="宋体" w:hint="eastAsia"/>
          <w:bCs/>
          <w:szCs w:val="21"/>
        </w:rPr>
        <w:t>；</w:t>
      </w:r>
    </w:p>
    <w:p w:rsidR="00822B64" w:rsidRDefault="00E92BF7">
      <w:pPr>
        <w:adjustRightInd w:val="0"/>
        <w:snapToGrid w:val="0"/>
        <w:spacing w:line="360" w:lineRule="auto"/>
        <w:ind w:firstLine="420"/>
        <w:rPr>
          <w:rFonts w:ascii="宋体" w:hAnsi="宋体"/>
          <w:bCs/>
          <w:szCs w:val="21"/>
        </w:rPr>
      </w:pPr>
      <w:r>
        <w:rPr>
          <w:rFonts w:ascii="宋体" w:hAnsi="宋体"/>
          <w:bCs/>
          <w:szCs w:val="21"/>
        </w:rPr>
        <w:t>25、</w:t>
      </w:r>
      <w:r>
        <w:rPr>
          <w:rFonts w:ascii="宋体" w:hAnsi="宋体" w:hint="eastAsia"/>
          <w:bCs/>
          <w:szCs w:val="21"/>
        </w:rPr>
        <w:t>基金信息披露义务人认为可能对基金份额持有人权益或者基金份额的价格产生重大影响的其他事项或</w:t>
      </w:r>
      <w:r>
        <w:rPr>
          <w:rFonts w:ascii="宋体" w:hAnsi="宋体"/>
          <w:bCs/>
          <w:szCs w:val="21"/>
        </w:rPr>
        <w:t>中国证监会规定的其他事项。</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（八）澄清公告</w:t>
      </w:r>
    </w:p>
    <w:p w:rsidR="00822B64" w:rsidRDefault="00E92BF7">
      <w:pPr>
        <w:adjustRightInd w:val="0"/>
        <w:snapToGrid w:val="0"/>
        <w:spacing w:line="360" w:lineRule="auto"/>
        <w:ind w:firstLine="420"/>
        <w:rPr>
          <w:rFonts w:ascii="宋体" w:hAnsi="宋体"/>
          <w:bCs/>
          <w:szCs w:val="21"/>
        </w:rPr>
      </w:pPr>
      <w:r>
        <w:rPr>
          <w:rFonts w:ascii="宋体" w:hAnsi="宋体"/>
          <w:bCs/>
          <w:szCs w:val="21"/>
        </w:rPr>
        <w:t>在《基金合同》存续期限内，任何公共媒介中出现的或者在市场上流传的消息可能对基金份额价格产生误导性影响或者引起较大波动</w:t>
      </w:r>
      <w:r>
        <w:rPr>
          <w:rFonts w:ascii="宋体" w:hAnsi="宋体" w:hint="eastAsia"/>
          <w:bCs/>
          <w:szCs w:val="21"/>
        </w:rPr>
        <w:t>，以及可能损害基金份额持有人权益</w:t>
      </w:r>
      <w:r>
        <w:rPr>
          <w:rFonts w:ascii="宋体" w:hAnsi="宋体"/>
          <w:bCs/>
          <w:szCs w:val="21"/>
        </w:rPr>
        <w:t>的，相关信息披露义务人知悉后应当立即对该消息进行公开澄清，并将有关情况立即报告中国证监会。</w:t>
      </w:r>
    </w:p>
    <w:p w:rsidR="00822B64" w:rsidRDefault="00E92BF7">
      <w:pPr>
        <w:adjustRightInd w:val="0"/>
        <w:snapToGrid w:val="0"/>
        <w:spacing w:line="360" w:lineRule="auto"/>
        <w:ind w:firstLine="420"/>
        <w:rPr>
          <w:rFonts w:ascii="宋体" w:hAnsi="宋体"/>
          <w:bCs/>
          <w:szCs w:val="21"/>
        </w:rPr>
      </w:pPr>
      <w:r>
        <w:rPr>
          <w:rFonts w:ascii="宋体" w:hAnsi="宋体"/>
          <w:bCs/>
          <w:szCs w:val="21"/>
        </w:rPr>
        <w:t>（九）基金份额持有人大会决议</w:t>
      </w:r>
    </w:p>
    <w:p w:rsidR="00822B64" w:rsidRDefault="00E92BF7">
      <w:pPr>
        <w:adjustRightInd w:val="0"/>
        <w:snapToGrid w:val="0"/>
        <w:spacing w:line="360" w:lineRule="auto"/>
        <w:ind w:firstLine="420"/>
        <w:rPr>
          <w:rFonts w:ascii="宋体" w:hAnsi="宋体"/>
          <w:bCs/>
          <w:szCs w:val="21"/>
        </w:rPr>
      </w:pPr>
      <w:r>
        <w:rPr>
          <w:rFonts w:ascii="宋体" w:hAnsi="宋体"/>
          <w:bCs/>
          <w:szCs w:val="21"/>
        </w:rPr>
        <w:lastRenderedPageBreak/>
        <w:t>基金份额持有人大会决定的事项，应当依法报</w:t>
      </w:r>
      <w:r>
        <w:rPr>
          <w:rFonts w:ascii="宋体" w:hAnsi="宋体" w:hint="eastAsia"/>
          <w:bCs/>
          <w:szCs w:val="21"/>
        </w:rPr>
        <w:t>中国证监会</w:t>
      </w:r>
      <w:r>
        <w:rPr>
          <w:rFonts w:ascii="宋体" w:hAnsi="宋体"/>
          <w:bCs/>
          <w:szCs w:val="21"/>
        </w:rPr>
        <w:t>备案，并予以公告。</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（十）投资资产支持证券的信息披露</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本基金应在基金年度报告及中期报告中披露其持有的资产支持证券总额、资产支持证券市值占基金净资产的比例和报告期内所有的资产支持证券明细。</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本基金应在基金季度报告中披露其持有的资产支持证券总额、资产支持证券市值占基金净资产的比例和报告期末按市值占基金净资产比例大小排序的前10名资产支持证券明细。</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（十一）实施侧袋机制期间的信息披露</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本基金实施侧袋机制的，相关信息披露义务人应当根据法律法规、基金合同和招募说明书的规定进行信息披露，详见本招募说明书“侧袋机制”部分的规定。</w:t>
      </w:r>
    </w:p>
    <w:p w:rsidR="00822B64" w:rsidRDefault="00E92BF7">
      <w:pPr>
        <w:adjustRightInd w:val="0"/>
        <w:snapToGrid w:val="0"/>
        <w:spacing w:line="360" w:lineRule="auto"/>
        <w:ind w:firstLine="420"/>
        <w:rPr>
          <w:rFonts w:ascii="宋体" w:hAnsi="宋体"/>
          <w:bCs/>
          <w:szCs w:val="21"/>
        </w:rPr>
      </w:pPr>
      <w:r>
        <w:rPr>
          <w:rFonts w:ascii="宋体" w:hAnsi="宋体" w:hint="eastAsia"/>
          <w:bCs/>
          <w:szCs w:val="21"/>
        </w:rPr>
        <w:t>（十二）</w:t>
      </w:r>
      <w:r>
        <w:rPr>
          <w:rFonts w:ascii="宋体" w:hAnsi="宋体"/>
          <w:bCs/>
          <w:szCs w:val="21"/>
        </w:rPr>
        <w:t>中国证监会规定的其他信息</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六、信息披露事务管理</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基金管理人、基金托管人应当建立健全信息披露管理制度，指定</w:t>
      </w:r>
      <w:r>
        <w:rPr>
          <w:rFonts w:ascii="宋体" w:hAnsi="宋体" w:hint="eastAsia"/>
          <w:bCs/>
          <w:szCs w:val="21"/>
        </w:rPr>
        <w:t>专门部门及高级管理人员</w:t>
      </w:r>
      <w:r>
        <w:rPr>
          <w:rFonts w:ascii="宋体" w:hAnsi="宋体"/>
          <w:bCs/>
          <w:szCs w:val="21"/>
        </w:rPr>
        <w:t>负责管理信息披露事务。</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基金信息披露义务人公开披露基金信息，应当符合中国证监会相关基金信息披露内容与格式准则</w:t>
      </w:r>
      <w:r>
        <w:rPr>
          <w:rFonts w:ascii="宋体" w:hAnsi="宋体" w:hint="eastAsia"/>
          <w:bCs/>
          <w:szCs w:val="21"/>
        </w:rPr>
        <w:t>等法律法规</w:t>
      </w:r>
      <w:r>
        <w:rPr>
          <w:rFonts w:ascii="宋体" w:hAnsi="宋体"/>
          <w:bCs/>
          <w:szCs w:val="21"/>
        </w:rPr>
        <w:t>的规定。</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基金托管人应当按照相关法律法规、中国证监会的规定和《基金合同》的约定，对基金管理人编制的基金资产净值、基金份额净值、基金份额申购赎回价格、基金定期报告</w:t>
      </w:r>
      <w:r>
        <w:rPr>
          <w:rFonts w:ascii="宋体" w:hAnsi="宋体" w:hint="eastAsia"/>
          <w:bCs/>
          <w:szCs w:val="21"/>
        </w:rPr>
        <w:t>、</w:t>
      </w:r>
      <w:r>
        <w:rPr>
          <w:rFonts w:ascii="宋体" w:hAnsi="宋体"/>
          <w:bCs/>
          <w:szCs w:val="21"/>
        </w:rPr>
        <w:t>更新的招募说明书</w:t>
      </w:r>
      <w:r>
        <w:rPr>
          <w:rFonts w:ascii="宋体" w:hAnsi="宋体" w:hint="eastAsia"/>
          <w:bCs/>
          <w:szCs w:val="21"/>
        </w:rPr>
        <w:t>、基金产品资料概要、基金清算报告</w:t>
      </w:r>
      <w:r>
        <w:rPr>
          <w:rFonts w:ascii="宋体" w:hAnsi="宋体"/>
          <w:bCs/>
          <w:szCs w:val="21"/>
        </w:rPr>
        <w:t>等相关基金信息进行复核、审查，并向基金管理人</w:t>
      </w:r>
      <w:r>
        <w:rPr>
          <w:rFonts w:ascii="宋体" w:hAnsi="宋体" w:hint="eastAsia"/>
          <w:bCs/>
          <w:szCs w:val="21"/>
        </w:rPr>
        <w:t>进行书面或电子确认</w:t>
      </w:r>
      <w:r>
        <w:rPr>
          <w:rFonts w:ascii="宋体" w:hAnsi="宋体"/>
          <w:bCs/>
          <w:szCs w:val="21"/>
        </w:rPr>
        <w:t>。</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基金管理人、基金托管人应当在</w:t>
      </w:r>
      <w:r>
        <w:rPr>
          <w:rFonts w:ascii="宋体" w:hAnsi="宋体" w:hint="eastAsia"/>
          <w:bCs/>
          <w:szCs w:val="21"/>
        </w:rPr>
        <w:t>规定报刊</w:t>
      </w:r>
      <w:r>
        <w:rPr>
          <w:rFonts w:ascii="宋体" w:hAnsi="宋体"/>
          <w:bCs/>
          <w:szCs w:val="21"/>
        </w:rPr>
        <w:t>中选择披露信息的报刊。</w:t>
      </w:r>
      <w:r>
        <w:rPr>
          <w:rFonts w:ascii="宋体" w:hAnsi="宋体" w:hint="eastAsia"/>
          <w:bCs/>
          <w:szCs w:val="21"/>
        </w:rPr>
        <w:t>基金管理人、基金托管人应当向中国证监会基金电子披露网站报送拟披露的基金信息，并保证相关报送信息的真实、准确、完整、及时。</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基金管理人、基金托管人除依法在规定媒介上披露信息外，还可以根据需要在其他公共媒介披露信息，但是其他公共媒介不得早于规定媒介披露信息，并且在不同媒介上披露同一信息的内容应当一致。</w:t>
      </w:r>
    </w:p>
    <w:p w:rsidR="00822B64" w:rsidRDefault="00E92BF7">
      <w:pPr>
        <w:adjustRightInd w:val="0"/>
        <w:snapToGrid w:val="0"/>
        <w:spacing w:line="360" w:lineRule="auto"/>
        <w:ind w:firstLineChars="200" w:firstLine="420"/>
        <w:rPr>
          <w:rFonts w:ascii="宋体" w:hAnsi="宋体"/>
          <w:bCs/>
          <w:szCs w:val="21"/>
        </w:rPr>
      </w:pPr>
      <w:r>
        <w:rPr>
          <w:rFonts w:ascii="宋体" w:hAnsi="宋体"/>
          <w:bCs/>
          <w:szCs w:val="21"/>
        </w:rPr>
        <w:t>为基金信息披露义务人公开披露的基金信息出具审计报告、法律意见书的专业机构，应当制作工作底稿，并将相关档案至少保存到《基金合同》终止后</w:t>
      </w:r>
      <w:r>
        <w:rPr>
          <w:rFonts w:ascii="宋体" w:hAnsi="宋体" w:hint="eastAsia"/>
          <w:bCs/>
          <w:szCs w:val="21"/>
        </w:rPr>
        <w:t>10</w:t>
      </w:r>
      <w:r>
        <w:rPr>
          <w:rFonts w:ascii="宋体" w:hAnsi="宋体"/>
          <w:bCs/>
          <w:szCs w:val="21"/>
        </w:rPr>
        <w:t>年。</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七、信息披露文件的存放与查阅</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依法必须披露的信息发布后，基金管理人、基金托管人应当按照相关法律法规规定将信息置备于各自住所，供社会公众查阅、复制。</w:t>
      </w:r>
    </w:p>
    <w:p w:rsidR="00822B64" w:rsidRDefault="00822B64">
      <w:pPr>
        <w:adjustRightInd w:val="0"/>
        <w:snapToGrid w:val="0"/>
        <w:spacing w:line="360" w:lineRule="auto"/>
        <w:ind w:firstLineChars="200"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hint="eastAsia"/>
          <w:b/>
          <w:szCs w:val="21"/>
        </w:rPr>
        <w:t>八、暂停或延迟信息披露的情形</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lastRenderedPageBreak/>
        <w:t>1、不可抗力；</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2、基金投资所涉及的证券交易市场遇法定节假日或因其他原因暂停营业时；</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3</w:t>
      </w:r>
      <w:r>
        <w:rPr>
          <w:rFonts w:ascii="宋体" w:hAnsi="宋体" w:hint="eastAsia"/>
          <w:szCs w:val="21"/>
        </w:rPr>
        <w:t>、法律法规、基金合同或中国证监会规定的情况。</w:t>
      </w:r>
    </w:p>
    <w:p w:rsidR="00822B64" w:rsidRDefault="00822B64">
      <w:pPr>
        <w:adjustRightInd w:val="0"/>
        <w:snapToGrid w:val="0"/>
        <w:spacing w:line="360" w:lineRule="auto"/>
        <w:ind w:firstLineChars="200" w:firstLine="420"/>
        <w:rPr>
          <w:rFonts w:ascii="宋体" w:hAnsi="宋体"/>
          <w:szCs w:val="21"/>
        </w:rPr>
      </w:pPr>
    </w:p>
    <w:p w:rsidR="00822B64" w:rsidRDefault="00822B64">
      <w:pPr>
        <w:adjustRightInd w:val="0"/>
        <w:snapToGrid w:val="0"/>
        <w:spacing w:line="360" w:lineRule="auto"/>
        <w:ind w:firstLineChars="200" w:firstLine="420"/>
        <w:rPr>
          <w:rFonts w:ascii="宋体" w:hAnsi="宋体"/>
          <w:szCs w:val="21"/>
        </w:rPr>
      </w:pPr>
    </w:p>
    <w:p w:rsidR="00822B64" w:rsidRDefault="00E92BF7">
      <w:pPr>
        <w:pStyle w:val="36"/>
        <w:snapToGrid w:val="0"/>
        <w:rPr>
          <w:rFonts w:hAnsi="宋体" w:hint="default"/>
          <w:szCs w:val="24"/>
        </w:rPr>
      </w:pPr>
      <w:r>
        <w:rPr>
          <w:rFonts w:hAnsi="宋体"/>
          <w:kern w:val="0"/>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02" w:name="_Toc360794418"/>
      <w:bookmarkStart w:id="303" w:name="_Toc360794110"/>
      <w:bookmarkStart w:id="304" w:name="_Toc360793860"/>
      <w:bookmarkStart w:id="305" w:name="_Toc362533465"/>
      <w:bookmarkStart w:id="306" w:name="_Toc362455193"/>
      <w:bookmarkStart w:id="307" w:name="_Toc360793508"/>
      <w:bookmarkStart w:id="308" w:name="_Toc360794526"/>
      <w:bookmarkStart w:id="309" w:name="_Toc48808894"/>
      <w:r>
        <w:rPr>
          <w:rFonts w:ascii="宋体" w:eastAsia="宋体" w:hAnsi="宋体" w:hint="eastAsia"/>
        </w:rPr>
        <w:lastRenderedPageBreak/>
        <w:t>侧袋机制</w:t>
      </w:r>
      <w:bookmarkEnd w:id="302"/>
      <w:bookmarkEnd w:id="303"/>
      <w:bookmarkEnd w:id="304"/>
      <w:bookmarkEnd w:id="305"/>
      <w:bookmarkEnd w:id="306"/>
      <w:bookmarkEnd w:id="307"/>
      <w:bookmarkEnd w:id="308"/>
      <w:bookmarkEnd w:id="309"/>
    </w:p>
    <w:p w:rsidR="00822B64" w:rsidRDefault="00822B64">
      <w:pPr>
        <w:snapToGrid w:val="0"/>
        <w:spacing w:line="360" w:lineRule="auto"/>
        <w:ind w:firstLine="420"/>
        <w:rPr>
          <w:rFonts w:ascii="宋体" w:hAnsi="宋体"/>
          <w:b/>
          <w:bCs/>
          <w:szCs w:val="21"/>
        </w:rPr>
      </w:pPr>
    </w:p>
    <w:p w:rsidR="00822B64" w:rsidRDefault="00E92BF7">
      <w:pPr>
        <w:adjustRightInd w:val="0"/>
        <w:snapToGrid w:val="0"/>
        <w:spacing w:line="360" w:lineRule="auto"/>
        <w:ind w:firstLineChars="200" w:firstLine="422"/>
        <w:rPr>
          <w:rFonts w:ascii="宋体" w:hAnsi="宋体"/>
          <w:b/>
          <w:bCs/>
          <w:szCs w:val="21"/>
        </w:rPr>
      </w:pPr>
      <w:r>
        <w:rPr>
          <w:rFonts w:ascii="宋体" w:hAnsi="宋体" w:hint="eastAsia"/>
          <w:b/>
          <w:bCs/>
          <w:szCs w:val="21"/>
        </w:rPr>
        <w:t>一、侧袋机制的实施条件</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基金管理人应当在启用侧袋机制后及时发布临时公告，</w:t>
      </w:r>
      <w:bookmarkStart w:id="310" w:name="_Hlk45746268"/>
      <w:r>
        <w:rPr>
          <w:rFonts w:ascii="宋体" w:hAnsi="宋体" w:hint="eastAsia"/>
          <w:szCs w:val="21"/>
        </w:rPr>
        <w:t>并在</w:t>
      </w:r>
      <w:bookmarkStart w:id="311" w:name="_Hlk45746204"/>
      <w:r>
        <w:rPr>
          <w:rFonts w:ascii="宋体" w:hAnsi="宋体" w:hint="eastAsia"/>
          <w:szCs w:val="21"/>
        </w:rPr>
        <w:t>五个工作日内</w:t>
      </w:r>
      <w:bookmarkEnd w:id="310"/>
      <w:bookmarkEnd w:id="311"/>
      <w:r>
        <w:rPr>
          <w:rFonts w:ascii="宋体" w:hAnsi="宋体" w:hint="eastAsia"/>
          <w:szCs w:val="21"/>
        </w:rPr>
        <w:t>聘请</w:t>
      </w:r>
      <w:bookmarkStart w:id="312" w:name="_Hlk45746277"/>
      <w:r>
        <w:rPr>
          <w:rFonts w:ascii="宋体" w:hAnsi="宋体" w:hint="eastAsia"/>
          <w:szCs w:val="21"/>
        </w:rPr>
        <w:t>侧袋机制启用日发表意见且</w:t>
      </w:r>
      <w:bookmarkEnd w:id="312"/>
      <w:r>
        <w:rPr>
          <w:rFonts w:ascii="宋体" w:hAnsi="宋体" w:hint="eastAsia"/>
          <w:szCs w:val="21"/>
        </w:rPr>
        <w:t>符合《中华人民共和国证券法》规定的会计师事务所</w:t>
      </w:r>
      <w:bookmarkStart w:id="313" w:name="_Hlk45746299"/>
      <w:r>
        <w:rPr>
          <w:rFonts w:ascii="宋体" w:hAnsi="宋体" w:hint="eastAsia"/>
          <w:szCs w:val="21"/>
        </w:rPr>
        <w:t>进行审计并披露</w:t>
      </w:r>
      <w:bookmarkEnd w:id="313"/>
      <w:r>
        <w:rPr>
          <w:rFonts w:ascii="宋体" w:hAnsi="宋体" w:hint="eastAsia"/>
          <w:szCs w:val="21"/>
        </w:rPr>
        <w:t>专项审计意见。</w:t>
      </w:r>
    </w:p>
    <w:p w:rsidR="00822B64" w:rsidRDefault="00822B64">
      <w:pPr>
        <w:adjustRightInd w:val="0"/>
        <w:snapToGrid w:val="0"/>
        <w:spacing w:line="360" w:lineRule="auto"/>
        <w:ind w:firstLineChars="200" w:firstLine="420"/>
        <w:rPr>
          <w:rFonts w:ascii="宋体" w:hAnsi="宋体"/>
          <w:szCs w:val="21"/>
        </w:rPr>
      </w:pPr>
    </w:p>
    <w:p w:rsidR="00822B64" w:rsidRDefault="00E92BF7">
      <w:pPr>
        <w:adjustRightInd w:val="0"/>
        <w:snapToGrid w:val="0"/>
        <w:spacing w:line="360" w:lineRule="auto"/>
        <w:ind w:firstLineChars="200" w:firstLine="422"/>
        <w:rPr>
          <w:rFonts w:ascii="宋体" w:hAnsi="宋体"/>
          <w:b/>
          <w:bCs/>
          <w:szCs w:val="21"/>
        </w:rPr>
      </w:pPr>
      <w:r>
        <w:rPr>
          <w:rFonts w:ascii="宋体" w:hAnsi="宋体" w:hint="eastAsia"/>
          <w:b/>
          <w:bCs/>
          <w:szCs w:val="21"/>
        </w:rPr>
        <w:t>二、实施侧袋机制期间</w:t>
      </w:r>
      <w:r>
        <w:rPr>
          <w:rFonts w:ascii="宋体" w:hAnsi="宋体" w:hint="eastAsia"/>
          <w:szCs w:val="21"/>
        </w:rPr>
        <w:t>基金份额的申购与赎回</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1、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2、实施侧袋机制期间，基金管理人不办理侧袋账户份额的申购、赎回和转换；同时，基金管理人按照基金合同和招募说明书的约定办理主袋账户份额的赎回，并根据主袋账户运作情况确定是否暂停申购。</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3、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工作日主袋账户总份额的</w:t>
      </w:r>
      <w:r>
        <w:rPr>
          <w:rFonts w:ascii="宋体" w:hAnsi="宋体"/>
          <w:szCs w:val="21"/>
        </w:rPr>
        <w:t>2</w:t>
      </w:r>
      <w:r>
        <w:rPr>
          <w:rFonts w:ascii="宋体" w:hAnsi="宋体" w:hint="eastAsia"/>
          <w:szCs w:val="21"/>
        </w:rPr>
        <w:t>0%认定。</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三、实施侧袋机制期间的基金投资</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侧袋机制实施期间，招募说明书“基金的投资”部分约定的</w:t>
      </w:r>
      <w:r>
        <w:rPr>
          <w:rFonts w:ascii="宋体" w:hAnsi="宋体"/>
          <w:szCs w:val="21"/>
        </w:rPr>
        <w:t>投资组合比例</w:t>
      </w:r>
      <w:r>
        <w:rPr>
          <w:rFonts w:ascii="宋体" w:hAnsi="宋体" w:hint="eastAsia"/>
          <w:szCs w:val="21"/>
        </w:rPr>
        <w:t>、投资策略、</w:t>
      </w:r>
      <w:r>
        <w:rPr>
          <w:rFonts w:ascii="宋体" w:hAnsi="宋体"/>
          <w:szCs w:val="21"/>
        </w:rPr>
        <w:t>组合限制</w:t>
      </w:r>
      <w:r>
        <w:rPr>
          <w:rFonts w:ascii="宋体" w:hAnsi="宋体" w:hint="eastAsia"/>
          <w:szCs w:val="21"/>
        </w:rPr>
        <w:t>、业绩比较基准、风险收益特征等约定仅适用于主袋账户。基金管理人计算各项投资运作指标和基金业绩指标时仅需考虑主袋账户资产。</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基金管理人原则上应当在侧袋机制启用后20个交易日内完成对主袋账户投资组合的调整，因资产流动性受限等中国证监会规定的情形除外。</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基金管理人不得在侧袋账户中进行除特定资产处置变现以外的其他投资操作。</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四、实施侧袋机制期间的基金估值</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本基金实施侧袋机制的，基金管理人和基金托管人应对主袋账户资产进行估值并披露主袋账户的基金净值信息，暂停披露侧袋账户份额净值。侧袋账户的会计核算应符合《企业会计准则》的相关要求。</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五、实施侧袋账户期间的基金费用</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1、本基金实施侧袋机制的，管理费和托管费按主袋账户基金资产净值作为基数计提。</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lastRenderedPageBreak/>
        <w:t>2、与侧袋账户有关的费用可从侧袋账户中列支，但应待侧袋账户资产变现后方可列支，有关费用可酌情收取或减免，但不得收取管理费。</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六、侧袋账户中特定资产的处置变现和支付</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侧袋账户资产全部完成变现并终止侧袋机制后，基金管理人应及时聘请符合《中华人民共和国证券法》规定的会计师事务所进行审计并披露专项审计意见。</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七、侧袋机制的信息披露</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1、基金净值信息</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基金管理人应按照招募说明书“基金的信息披露”部分规定的基金净值信息披露方式和频率披露主袋账户份额的基金份额净值和基金份额累计净值。实施侧袋机制期间，本基金暂停披露侧袋账户份额净值和累计净值。</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2、定期报告</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侧袋机制实施期间，基金管理人应当在基金定期报告中披露报告期内侧袋账户相关信息，基金定期报告中的基金会计报表仅需针对主袋账户进行编制。</w:t>
      </w:r>
      <w:bookmarkStart w:id="314" w:name="_Hlk45747214"/>
      <w:r>
        <w:rPr>
          <w:rFonts w:ascii="宋体" w:hAnsi="宋体" w:hint="eastAsia"/>
          <w:szCs w:val="21"/>
        </w:rPr>
        <w:t>会计师事务所对基金年度报告进行审计时，应对报告期内基金侧袋机制运行相关的会计核算和年度报告披露等发表审计意见。</w:t>
      </w:r>
      <w:bookmarkEnd w:id="314"/>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3、临时报告</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在启用侧袋机制、处置特定资产、终止侧袋机制以及发生其他可能对投资者利益产生重大影响的事项后基金管理人应及时发布临时公告。</w:t>
      </w: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822B64">
      <w:pPr>
        <w:adjustRightInd w:val="0"/>
        <w:snapToGrid w:val="0"/>
        <w:spacing w:line="360" w:lineRule="auto"/>
        <w:ind w:firstLineChars="200" w:firstLine="422"/>
        <w:rPr>
          <w:rFonts w:ascii="宋体" w:hAnsi="宋体"/>
          <w:b/>
          <w:bCs/>
          <w:szCs w:val="21"/>
        </w:rPr>
      </w:pPr>
    </w:p>
    <w:p w:rsidR="00822B64" w:rsidRDefault="00E92BF7">
      <w:pPr>
        <w:pStyle w:val="21"/>
        <w:numPr>
          <w:ilvl w:val="0"/>
          <w:numId w:val="28"/>
        </w:numPr>
        <w:snapToGrid w:val="0"/>
        <w:spacing w:before="0" w:after="0" w:line="360" w:lineRule="auto"/>
        <w:jc w:val="left"/>
        <w:rPr>
          <w:rFonts w:ascii="宋体" w:eastAsia="宋体" w:hAnsi="宋体"/>
        </w:rPr>
      </w:pPr>
      <w:bookmarkStart w:id="315" w:name="_Toc48808895"/>
      <w:r>
        <w:rPr>
          <w:rFonts w:ascii="宋体" w:eastAsia="宋体" w:hAnsi="宋体" w:hint="eastAsia"/>
        </w:rPr>
        <w:lastRenderedPageBreak/>
        <w:t>风险揭示</w:t>
      </w:r>
      <w:bookmarkEnd w:id="315"/>
    </w:p>
    <w:p w:rsidR="00822B64" w:rsidRDefault="00E92BF7">
      <w:pPr>
        <w:adjustRightInd w:val="0"/>
        <w:snapToGrid w:val="0"/>
        <w:spacing w:line="360" w:lineRule="auto"/>
        <w:ind w:firstLineChars="200" w:firstLine="422"/>
        <w:rPr>
          <w:rFonts w:ascii="宋体" w:hAnsi="宋体"/>
          <w:b/>
          <w:bCs/>
          <w:szCs w:val="21"/>
        </w:rPr>
      </w:pPr>
      <w:r>
        <w:rPr>
          <w:rFonts w:ascii="宋体" w:hAnsi="宋体"/>
          <w:b/>
          <w:bCs/>
          <w:szCs w:val="21"/>
        </w:rPr>
        <w:t>一、本基金的特有风险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w:t>
      </w:r>
      <w:r>
        <w:rPr>
          <w:rFonts w:ascii="宋体" w:hAnsi="宋体" w:hint="eastAsia"/>
          <w:szCs w:val="21"/>
        </w:rPr>
        <w:t>本基金以定期开放方式运作，即以封闭期和开放期相结合的方式运作。每一封闭期长度为6</w:t>
      </w:r>
      <w:r>
        <w:rPr>
          <w:rFonts w:ascii="宋体" w:hAnsi="宋体"/>
          <w:szCs w:val="21"/>
        </w:rPr>
        <w:t>6</w:t>
      </w:r>
      <w:r>
        <w:rPr>
          <w:rFonts w:ascii="宋体" w:hAnsi="宋体" w:hint="eastAsia"/>
          <w:szCs w:val="21"/>
        </w:rPr>
        <w:t>个月，封闭期内不办理申购与赎回业务，也不上市交易；本基金自每个封闭期结束之后第一个工作日起（包括该日）进入开放期，期间可以办理申购与赎回业务。在封闭期内，基金份额持有人将面临不能赎回或卖出基金份额而出现的流动性约束。若基金份额持有人错过某一开放期而未能赎回，其份额需至下一开放期方可赎回。</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2、本基金的投资范围包括资产支持证券。资产支持证券存在如下风险：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信用风险，也称为违约风险，它是指资产支持证券参与主体对它们所承诺的各种合约的违约所造成的可能损失。从简单意义上讲，信用风险表现为证券化资产所产生的现金流不能支持本金和利息的及时支付而给投资者带来损失。</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（2）利率风险，是指资产支持证券作为固定收益证券的一种，也具有利率风险，即资产支持证券的价格受利率波动发生变动而造成的风险。</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（3）流动性风险，是指资产支持证券不能迅速、低成本地变现的风险。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（4）提前偿付风险，是指若合同约定债务人有权在产品到期前偿还，则存在由于提前偿付而使投资者遭受损失的可能性。</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（5）操作风险，是指相关各方在业务操作过程中，因操作失误或违反操作规程而引起的风险。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（6）法律风险，是指因资产支持证券交易结构较为复杂、参与方较多、交易文件较多，而存在的法律风险和履约风险。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3、流动性风险评估</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（1）本基金的申购、赎回安排</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本基金以定期开放方式运作，即以封闭期和开放期相结合的方式运作。本基金以66个月为一个封闭期。</w:t>
      </w:r>
      <w:r>
        <w:rPr>
          <w:rFonts w:ascii="宋体" w:hAnsi="宋体"/>
          <w:szCs w:val="21"/>
        </w:rPr>
        <w:t>投资人在开放</w:t>
      </w:r>
      <w:r>
        <w:rPr>
          <w:rFonts w:ascii="宋体" w:hAnsi="宋体" w:hint="eastAsia"/>
          <w:szCs w:val="21"/>
        </w:rPr>
        <w:t>期内的每个工作日</w:t>
      </w:r>
      <w:r>
        <w:rPr>
          <w:rFonts w:ascii="宋体" w:hAnsi="宋体"/>
          <w:szCs w:val="21"/>
        </w:rPr>
        <w:t>办理基金份额的申购和赎回，具体办理时间为上海证券交易所、深圳证券交易所的正常交易日的交易时间，但基金管理人根据法律法规、中国证监会的要求或基金合同的规定公告暂停申购、赎回时除外。封闭期内，本基金不办理申购与赎回业务，也不上市交易。</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（2）投资市场、行业及资产的流动性风险评估</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本基金封闭期内采取买入持有到期投资策略，投资于剩余期限（或回售期限）不超过基金剩余封闭期的固定收益类工具，使基金资产在开放前可完全变现，能够满足开放期投资的赎回需求，为基金平稳运作提供了良好的基础。根据《公开募集开放式证券投资基金流动性风险管理规定》的相关要求，本基金会审慎评估所投资资产的流动性，并针对性制定流动性风险管理措施，因此本基金流动性风险也可以得到有效控制。</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lastRenderedPageBreak/>
        <w:t>（3）巨额赎回情形下的流动性风险管理措施</w:t>
      </w:r>
    </w:p>
    <w:p w:rsidR="00822B64" w:rsidRDefault="00E92BF7">
      <w:pPr>
        <w:adjustRightInd w:val="0"/>
        <w:snapToGrid w:val="0"/>
        <w:spacing w:line="360" w:lineRule="auto"/>
        <w:ind w:firstLineChars="200" w:firstLine="420"/>
        <w:rPr>
          <w:rFonts w:ascii="宋体" w:hAnsi="宋体"/>
          <w:szCs w:val="21"/>
        </w:rPr>
      </w:pPr>
      <w:bookmarkStart w:id="316" w:name="page63"/>
      <w:bookmarkEnd w:id="316"/>
      <w:r>
        <w:rPr>
          <w:rFonts w:ascii="宋体" w:hAnsi="宋体" w:hint="eastAsia"/>
          <w:szCs w:val="21"/>
        </w:rPr>
        <w:t>若本基金开放期内的单个开放日，基金份额净赎回申请（赎回申请份额总数加上基金转换中转出申请份额总数后扣除申购申请份额总数及基金转换中转入申请份额总数后的余额）超过前一</w:t>
      </w:r>
      <w:r>
        <w:rPr>
          <w:rFonts w:ascii="宋体" w:hAnsi="宋体"/>
          <w:szCs w:val="21"/>
        </w:rPr>
        <w:t>工作</w:t>
      </w:r>
      <w:r>
        <w:rPr>
          <w:rFonts w:ascii="宋体" w:hAnsi="宋体" w:hint="eastAsia"/>
          <w:szCs w:val="21"/>
        </w:rPr>
        <w:t>日的基金总份额的</w:t>
      </w:r>
      <w:r>
        <w:rPr>
          <w:rFonts w:ascii="宋体" w:hAnsi="宋体"/>
          <w:szCs w:val="21"/>
        </w:rPr>
        <w:t>20%</w:t>
      </w:r>
      <w:r>
        <w:rPr>
          <w:rFonts w:ascii="宋体" w:hAnsi="宋体" w:hint="eastAsia"/>
          <w:szCs w:val="21"/>
        </w:rPr>
        <w:t>，即认为是发生了巨额赎回。</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当基金</w:t>
      </w:r>
      <w:r>
        <w:rPr>
          <w:rFonts w:ascii="宋体" w:hAnsi="宋体" w:hint="eastAsia"/>
          <w:szCs w:val="21"/>
        </w:rPr>
        <w:t>开放期内的单个开放日</w:t>
      </w:r>
      <w:r>
        <w:rPr>
          <w:rFonts w:ascii="宋体" w:hAnsi="宋体"/>
          <w:szCs w:val="21"/>
        </w:rPr>
        <w:t>出现巨额赎回时，基金管理人可以根据基金当时的资产组合状况决定全额赎回</w:t>
      </w:r>
      <w:r>
        <w:rPr>
          <w:rFonts w:ascii="宋体" w:hAnsi="宋体" w:hint="eastAsia"/>
          <w:szCs w:val="21"/>
        </w:rPr>
        <w:t>、延缓支付赎回款项或延期办理赎回申请</w:t>
      </w:r>
      <w:r>
        <w:rPr>
          <w:rFonts w:ascii="宋体" w:hAnsi="宋体"/>
          <w:szCs w:val="21"/>
        </w:rPr>
        <w:t>。</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1）全额赎回：当基金管理人认为有能力支付投资人的全部赎回申请时，按正常赎回程序执行。</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2）延缓支付赎回款项</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当基金管理人认为支付投资人的赎回款项有困难或认为因支付投资人的赎回款项而进行的财产变现可能会对基金资产净值造成较大波动时，基金管理人应当接受并确认所有的赎回申请，当日按比例办理的赎回份额不得低于基金总份额的百分之二十，其余赎回申请可以延缓支付赎回款项，但延缓支付的期限不得超过二十个工作日，并应当在规定媒介上进行公告；延缓支付的赎回申请以赎回申请当日的基金份额净值为基础计算赎回金额。</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3）延期办理赎回申请</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在开放期内，当本基金发生巨额赎回，且单个基金份额持有人赎回申请超过前一个工作日基金总份额</w:t>
      </w:r>
      <w:r>
        <w:rPr>
          <w:rFonts w:ascii="宋体" w:hAnsi="宋体"/>
          <w:szCs w:val="21"/>
        </w:rPr>
        <w:t>30%</w:t>
      </w:r>
      <w:r>
        <w:rPr>
          <w:rFonts w:ascii="宋体" w:hAnsi="宋体" w:hint="eastAsia"/>
          <w:szCs w:val="21"/>
        </w:rPr>
        <w:t>以上时，若基金管理人认为支付该基金份额持有人的全部赎回款项有困难或者因支付该基金份额持有人的全部赎回款项而进行的财产变现可能会对基金资产净值造成较大波动时，基金管理人可以对当日该基金份额持有人占前一工作日基金总份额</w:t>
      </w:r>
      <w:r>
        <w:rPr>
          <w:rFonts w:ascii="宋体" w:hAnsi="宋体"/>
          <w:szCs w:val="21"/>
        </w:rPr>
        <w:t>30%</w:t>
      </w:r>
      <w:r>
        <w:rPr>
          <w:rFonts w:ascii="宋体" w:hAnsi="宋体" w:hint="eastAsia"/>
          <w:szCs w:val="21"/>
        </w:rPr>
        <w:t>的赎回申请和其他基金份额持有人的全部赎回申请进行确认，该基金份额持有人的其余赎回申请可以延期办理，对于延期办理的部分，如该基金份额持有人在提交赎回申请时选择取消赎回，则其当日未获受理的部分赎回申请将被撤销；选择延期赎回的，将自动转入下一个开放日继续赎回，并与下一开放日新增的赎回申请一并处理，无优先权并以下一开放日的基金份额净值为基础计算赎回金额，以此类推，直至全部赎回为止。如延期办理期限超过开放期的，开放期相应延长，直至全部赎回为止，延长的开放期内不办理申购，亦不接受新的赎回申请，即基金管理人仅为原开放期内因提交赎回申请超过前一工作日基金总份额</w:t>
      </w:r>
      <w:r>
        <w:rPr>
          <w:rFonts w:ascii="宋体" w:hAnsi="宋体"/>
          <w:szCs w:val="21"/>
        </w:rPr>
        <w:t>30%</w:t>
      </w:r>
      <w:r>
        <w:rPr>
          <w:rFonts w:ascii="宋体" w:hAnsi="宋体" w:hint="eastAsia"/>
          <w:szCs w:val="21"/>
        </w:rPr>
        <w:t>以上而被延期办理赎回的单个基金份额持有人办理赎回业务。若在延长的开放期结束时仍有未获处理赎回申请，则该等未获处理的赎回申请将被视为无效申请。如投资人在提交赎回申请时未作明确选择，投资人未能赎回部分作自动延期赎回处理。对于当日基金管理人已经确认的赎回申请，基金管理人认为有能力支付时，应按上述</w:t>
      </w:r>
      <w:r>
        <w:rPr>
          <w:rFonts w:ascii="宋体" w:hAnsi="宋体"/>
          <w:szCs w:val="21"/>
        </w:rPr>
        <w:t>“</w:t>
      </w:r>
      <w:r>
        <w:rPr>
          <w:rFonts w:ascii="宋体" w:hAnsi="宋体" w:hint="eastAsia"/>
          <w:szCs w:val="21"/>
        </w:rPr>
        <w:t>全部赎回</w:t>
      </w:r>
      <w:r>
        <w:rPr>
          <w:rFonts w:ascii="宋体" w:hAnsi="宋体"/>
          <w:szCs w:val="21"/>
        </w:rPr>
        <w:t>”</w:t>
      </w:r>
      <w:r>
        <w:rPr>
          <w:rFonts w:ascii="宋体" w:hAnsi="宋体" w:hint="eastAsia"/>
          <w:szCs w:val="21"/>
        </w:rPr>
        <w:t>的约定方式执行；当基金管理人认为支付该基金份额持有人的该部分赎回申请有困难时，基金管理人则应按上述</w:t>
      </w:r>
      <w:r>
        <w:rPr>
          <w:rFonts w:ascii="宋体" w:hAnsi="宋体"/>
          <w:szCs w:val="21"/>
        </w:rPr>
        <w:t>“</w:t>
      </w:r>
      <w:r>
        <w:rPr>
          <w:rFonts w:ascii="宋体" w:hAnsi="宋体" w:hint="eastAsia"/>
          <w:szCs w:val="21"/>
        </w:rPr>
        <w:t>延缓支付赎回款项</w:t>
      </w:r>
      <w:r>
        <w:rPr>
          <w:rFonts w:ascii="宋体" w:hAnsi="宋体"/>
          <w:szCs w:val="21"/>
        </w:rPr>
        <w:t>”</w:t>
      </w:r>
      <w:r>
        <w:rPr>
          <w:rFonts w:ascii="宋体" w:hAnsi="宋体" w:hint="eastAsia"/>
          <w:szCs w:val="21"/>
        </w:rPr>
        <w:t>的约定方式执行。</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（4）实施备用的流动性风险管理工具的情形、程序及对投资者的潜在影响</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开放期内如果出现流动性风险，基金管理人经与基金托管人协商，在确保投资者得到公</w:t>
      </w:r>
      <w:r>
        <w:rPr>
          <w:rFonts w:ascii="宋体" w:hAnsi="宋体"/>
          <w:szCs w:val="21"/>
        </w:rPr>
        <w:lastRenderedPageBreak/>
        <w:t>平对待的前提下，可实施备用的流动性风险管理工具，作为特定情形下基金管理人流动性风险管理的辅助措施，包括但不限于延期办理巨额赎回申请、暂停接受赎回申请、延缓支付赎回款项、收取短期赎回费、暂停基金估值、摆动定价以及中国证监会认定的其他措施。同时基金管理人应时刻防范可能产生的流动性风险，对流动性风险进行日常监控，保护持有人的利益。当实施备用的流动性风险管理工具时，有可能无法按合同约定的时限支付赎回款项。</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基金管理人将根据主袋账户运作情况合理确定申购政策, 因此实施侧袋机制后主袋账户份额存在暂停申购的可能。</w:t>
      </w:r>
    </w:p>
    <w:p w:rsidR="00822B64" w:rsidRDefault="00E92BF7">
      <w:pPr>
        <w:adjustRightInd w:val="0"/>
        <w:snapToGrid w:val="0"/>
        <w:spacing w:line="360" w:lineRule="auto"/>
        <w:ind w:firstLineChars="200" w:firstLine="420"/>
        <w:rPr>
          <w:rFonts w:ascii="宋体" w:hAnsi="宋体"/>
          <w:szCs w:val="21"/>
        </w:rPr>
      </w:pPr>
      <w:r>
        <w:rPr>
          <w:rFonts w:ascii="宋体" w:hAnsi="宋体" w:hint="eastAsia"/>
          <w:szCs w:val="21"/>
        </w:rPr>
        <w:t>启用侧袋机制后，基金管理人计算各项投资运作指标和基金业绩指标时仅需考虑主袋账户资产，基金业绩指标应当以主袋账户资产为基准，因此本基金披露的业绩指标不能反映特定资产的真实价值及变化情况。</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4、信用风险对本基金买入持有到期投资策略的影响</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为控制本基金的信用风险，本基金将定期对所投债券的信用资质和发行人的偿付能力进行评估。对于存在信用风险隐患的发行人所发行的债券，及时制定风险处置预案。封闭期内，如本基金持有债券的信用风险显著增加时，为减少信用损失，本基金将对该债券进行处置。</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5、基金封闭期到期日因部分资产无法变现或者无法以合理价格变现导致基金部分资产尚未变现的，基金将暂停进入下一开放期，封闭期结束的下一个工作日，基金份额应全部自动赎回，按已变现的基金财产支付部分赎回款项，未变现资产对应赎回款延缓支付，待该部分资产变现后支付剩余赎回款。赎回价格按全部资产最终变现净额确定。基金管理人应就上述延缓支付部分赎回款项的原因和安排在封闭期结束后的下一个工作日发布公告并提示最终赎回价格与封闭期到期日的净值可能存在差异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6、在封闭期内，本基金采用买入并持有至到期策略，一般情况下，持有的固定收益类品种和结构在封闭期内不会发生变化，在行情波动时，可能损失一定的交易收益。</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7、本基金定期对持有的固定收益品种的账面价值进行检查，如有客观证据表明其发生</w:t>
      </w:r>
      <w:r>
        <w:rPr>
          <w:rFonts w:ascii="宋体" w:hAnsi="宋体"/>
          <w:szCs w:val="21"/>
        </w:rPr>
        <w:lastRenderedPageBreak/>
        <w:t>了减值的，应当与托管人协商一致后对所投资资产计算确认减值损失。因此，摊余成本法估值不等同于保本，基金资产发生计提减值准备可能导致基金份额净值下跌。</w:t>
      </w:r>
    </w:p>
    <w:p w:rsidR="00822B64" w:rsidRDefault="00E92BF7">
      <w:pPr>
        <w:adjustRightInd w:val="0"/>
        <w:snapToGrid w:val="0"/>
        <w:spacing w:line="360" w:lineRule="auto"/>
        <w:ind w:firstLineChars="200" w:firstLine="422"/>
        <w:rPr>
          <w:rFonts w:ascii="宋体" w:hAnsi="宋体"/>
          <w:b/>
          <w:bCs/>
          <w:szCs w:val="21"/>
        </w:rPr>
      </w:pPr>
      <w:bookmarkStart w:id="317" w:name="page64"/>
      <w:bookmarkEnd w:id="317"/>
      <w:r>
        <w:rPr>
          <w:rFonts w:ascii="宋体" w:hAnsi="宋体"/>
          <w:b/>
          <w:bCs/>
          <w:szCs w:val="21"/>
        </w:rPr>
        <w:t>二、市场风险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证券市场价格受到经济因素、政治因素、投资心理和交易制度等各种因素的影响，导致基金收益水平变化，产生风险，主要包括：</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1、政策风险。因国家宏观政策（如货币政策、财政政策、行业政策、地区发展政策等）发生变化，导致证券收益波动而产生风险；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2、经济周期风险。随经济运行的周期性变化，证券市场的收益水平也呈周期性变化；</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3、利率风险。金融市场利率的波动会导致证券市场价格和收益率的变动。利率直接影响着债券的价格和收益率；</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4、购买力风险。基金的利润将主要通过现金形式来分配，而现金可能因为通货膨胀的影响而导致购买力下降，从而使基金的实际收益下降；</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5、信用风险。主要是指债务人的违约风险，若债务人经营不善，资不抵债，债权人可能会损失掉大部分的投资，这主要体现在企业债中；</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6、债券收益率曲线变动风险。债券收益率曲线变动风险是指与收益率曲线非平行移动有关的风险，单一的久期指标并不能充分反映这一风险的存在；</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7、再投资风险。再投资风险反映了利率下降对固定收益证券利息收入再投资收益的影响，这与利率上升所带来的价格风险（即前面所提到的利率风险）互为消长。具体为当利率下降时，基金从投资的固定收益证券所得的利息收入进行再投资时，将获得较少的收益率。</w:t>
      </w:r>
    </w:p>
    <w:p w:rsidR="00822B64" w:rsidRDefault="00E92BF7">
      <w:pPr>
        <w:adjustRightInd w:val="0"/>
        <w:snapToGrid w:val="0"/>
        <w:spacing w:line="360" w:lineRule="auto"/>
        <w:ind w:firstLineChars="200" w:firstLine="422"/>
        <w:rPr>
          <w:rFonts w:ascii="宋体" w:hAnsi="宋体"/>
          <w:b/>
          <w:bCs/>
          <w:szCs w:val="21"/>
        </w:rPr>
      </w:pPr>
      <w:r>
        <w:rPr>
          <w:rFonts w:ascii="宋体" w:hAnsi="宋体"/>
          <w:b/>
          <w:bCs/>
          <w:szCs w:val="21"/>
        </w:rPr>
        <w:t>三、</w:t>
      </w:r>
      <w:r>
        <w:rPr>
          <w:rFonts w:ascii="宋体" w:hAnsi="宋体" w:hint="eastAsia"/>
          <w:b/>
          <w:bCs/>
          <w:szCs w:val="21"/>
        </w:rPr>
        <w:t>管理</w:t>
      </w:r>
      <w:r>
        <w:rPr>
          <w:rFonts w:ascii="宋体" w:hAnsi="宋体"/>
          <w:b/>
          <w:bCs/>
          <w:szCs w:val="21"/>
        </w:rPr>
        <w:t>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在基金管理运作过程中基金管理人的知识、经验、判断、决策、技能等，会影响其对信息的占有和对经济形势、证券价格走势的判断，从而影响基金收益水平，造成管理风险。</w:t>
      </w:r>
    </w:p>
    <w:p w:rsidR="00822B64" w:rsidRDefault="00E92BF7">
      <w:pPr>
        <w:adjustRightInd w:val="0"/>
        <w:snapToGrid w:val="0"/>
        <w:spacing w:line="360" w:lineRule="auto"/>
        <w:ind w:firstLineChars="200" w:firstLine="422"/>
        <w:rPr>
          <w:rFonts w:ascii="宋体" w:hAnsi="宋体"/>
          <w:b/>
          <w:bCs/>
          <w:szCs w:val="21"/>
        </w:rPr>
      </w:pPr>
      <w:r>
        <w:rPr>
          <w:rFonts w:ascii="宋体" w:hAnsi="宋体"/>
          <w:b/>
          <w:bCs/>
          <w:szCs w:val="21"/>
        </w:rPr>
        <w:t>四</w:t>
      </w:r>
      <w:r>
        <w:rPr>
          <w:rFonts w:ascii="宋体" w:hAnsi="宋体" w:hint="eastAsia"/>
          <w:b/>
          <w:bCs/>
          <w:szCs w:val="21"/>
        </w:rPr>
        <w:t>、</w:t>
      </w:r>
      <w:r>
        <w:rPr>
          <w:rFonts w:ascii="宋体" w:hAnsi="宋体"/>
          <w:b/>
          <w:bCs/>
          <w:szCs w:val="21"/>
        </w:rPr>
        <w:t>流动性风险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本基金</w:t>
      </w:r>
      <w:r>
        <w:rPr>
          <w:rFonts w:ascii="宋体" w:hAnsi="宋体" w:hint="eastAsia"/>
          <w:szCs w:val="21"/>
        </w:rPr>
        <w:t>开放期内的每个工作日</w:t>
      </w:r>
      <w:r>
        <w:rPr>
          <w:rFonts w:ascii="宋体" w:hAnsi="宋体"/>
          <w:szCs w:val="21"/>
        </w:rPr>
        <w:t>，</w:t>
      </w:r>
      <w:r>
        <w:rPr>
          <w:rFonts w:ascii="宋体" w:hAnsi="宋体" w:hint="eastAsia"/>
          <w:szCs w:val="21"/>
        </w:rPr>
        <w:t>基金</w:t>
      </w:r>
      <w:r>
        <w:rPr>
          <w:rFonts w:ascii="宋体" w:hAnsi="宋体"/>
          <w:szCs w:val="21"/>
        </w:rPr>
        <w:t>管理人有义务接受投资人的赎回。如果出现较大数额的赎回申请，则使基金资产变现困难，基金面临流动性风险。</w:t>
      </w:r>
    </w:p>
    <w:p w:rsidR="00822B64" w:rsidRDefault="00E92BF7">
      <w:pPr>
        <w:adjustRightInd w:val="0"/>
        <w:snapToGrid w:val="0"/>
        <w:spacing w:line="360" w:lineRule="auto"/>
        <w:ind w:firstLineChars="200" w:firstLine="422"/>
        <w:rPr>
          <w:rFonts w:ascii="宋体" w:hAnsi="宋体"/>
          <w:b/>
          <w:bCs/>
          <w:szCs w:val="21"/>
        </w:rPr>
      </w:pPr>
      <w:r>
        <w:rPr>
          <w:rFonts w:ascii="宋体" w:hAnsi="宋体" w:hint="eastAsia"/>
          <w:b/>
          <w:bCs/>
          <w:szCs w:val="21"/>
        </w:rPr>
        <w:t>五、</w:t>
      </w:r>
      <w:r>
        <w:rPr>
          <w:rFonts w:ascii="宋体" w:hAnsi="宋体"/>
          <w:b/>
          <w:bCs/>
          <w:szCs w:val="21"/>
        </w:rPr>
        <w:t>其他风险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(1)因技术因素而产生的风险，如电脑系统不可靠产生的风险；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(2)因业务快速发展而在制度建设、人员配备、内控制度建立等不完善而产生的风险；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(3)因人为因素而产生的风险、如内幕交易、欺诈行为等产生的风险；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(4)对主要业务人员如基金经理的依赖而可能产生的风险；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(5)因业务竞争压力可能产生的风险；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(6)不可抗力可能导致基金资产的损失，影响基金收益水平，从而带来风险；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(7)其他意外导致的风险。</w:t>
      </w:r>
    </w:p>
    <w:p w:rsidR="00822B64" w:rsidRDefault="00E92BF7">
      <w:pPr>
        <w:adjustRightInd w:val="0"/>
        <w:snapToGrid w:val="0"/>
        <w:spacing w:line="360" w:lineRule="auto"/>
        <w:ind w:firstLineChars="200" w:firstLine="422"/>
        <w:rPr>
          <w:rFonts w:ascii="宋体" w:hAnsi="宋体"/>
          <w:b/>
          <w:bCs/>
          <w:szCs w:val="21"/>
        </w:rPr>
      </w:pPr>
      <w:bookmarkStart w:id="318" w:name="page65"/>
      <w:bookmarkEnd w:id="318"/>
      <w:r>
        <w:rPr>
          <w:rFonts w:ascii="宋体" w:hAnsi="宋体" w:hint="eastAsia"/>
          <w:b/>
          <w:bCs/>
          <w:szCs w:val="21"/>
        </w:rPr>
        <w:t>六</w:t>
      </w:r>
      <w:r>
        <w:rPr>
          <w:rFonts w:ascii="宋体" w:hAnsi="宋体"/>
          <w:b/>
          <w:bCs/>
          <w:szCs w:val="21"/>
        </w:rPr>
        <w:t>、本基金法律文件风险收益特征表述与销售机构基金风险评价可能不一致的风险</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lastRenderedPageBreak/>
        <w:t>本基金法律文件投资章节有关风险收益特征的表述是基于投资范围、投资比例、证券市场普遍规律等做出的概述性描述，代表了一般市场情况下本基金的长期风险收益特征。</w:t>
      </w:r>
    </w:p>
    <w:p w:rsidR="00822B64" w:rsidRDefault="00E92BF7">
      <w:pPr>
        <w:adjustRightInd w:val="0"/>
        <w:snapToGrid w:val="0"/>
        <w:spacing w:line="360" w:lineRule="auto"/>
        <w:ind w:firstLineChars="200" w:firstLine="420"/>
        <w:rPr>
          <w:rFonts w:ascii="宋体" w:hAnsi="宋体"/>
          <w:szCs w:val="21"/>
        </w:rPr>
      </w:pPr>
      <w:r>
        <w:rPr>
          <w:rFonts w:ascii="宋体" w:hAnsi="宋体"/>
          <w:szCs w:val="21"/>
        </w:rPr>
        <w:t>销售机构(包括基金管理人直销机构和其他销售机构)根据相关法律法规对本基金进行风险评价，不同的销售机构采用的评价方法也不同，因此销售机构的风险等级评价与基金法律文件中风险收益特征的表述可能存在不同，投资人在购买本基金时需按照销售机构的要求完成风险承受能力与产品风险之间的匹配检验。</w:t>
      </w:r>
    </w:p>
    <w:p w:rsidR="00822B64" w:rsidRDefault="00822B64">
      <w:pPr>
        <w:pStyle w:val="34"/>
        <w:snapToGrid w:val="0"/>
        <w:spacing w:line="360" w:lineRule="auto"/>
        <w:ind w:firstLineChars="200" w:firstLine="420"/>
        <w:rPr>
          <w:rFonts w:hAnsi="宋体" w:hint="default"/>
          <w:sz w:val="21"/>
          <w:szCs w:val="21"/>
        </w:rPr>
      </w:pPr>
    </w:p>
    <w:p w:rsidR="00822B64" w:rsidRDefault="00E92BF7">
      <w:pPr>
        <w:widowControl/>
        <w:jc w:val="left"/>
        <w:rPr>
          <w:rFonts w:ascii="宋体" w:hAnsi="宋体"/>
          <w:szCs w:val="21"/>
        </w:rPr>
      </w:pPr>
      <w:r>
        <w:rPr>
          <w:rFonts w:hAnsi="宋体"/>
          <w:szCs w:val="21"/>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19" w:name="_Toc360794527"/>
      <w:bookmarkStart w:id="320" w:name="_Toc360793861"/>
      <w:bookmarkStart w:id="321" w:name="_Toc362455194"/>
      <w:bookmarkStart w:id="322" w:name="_Toc360793509"/>
      <w:bookmarkStart w:id="323" w:name="_Toc48808896"/>
      <w:bookmarkStart w:id="324" w:name="_Toc360794419"/>
      <w:bookmarkStart w:id="325" w:name="_Toc362533466"/>
      <w:bookmarkStart w:id="326" w:name="_Toc360794111"/>
      <w:r>
        <w:rPr>
          <w:rFonts w:ascii="宋体" w:eastAsia="宋体" w:hAnsi="宋体" w:hint="eastAsia"/>
        </w:rPr>
        <w:lastRenderedPageBreak/>
        <w:t>基金合同的变更、终止和基金财产的清算</w:t>
      </w:r>
      <w:bookmarkEnd w:id="319"/>
      <w:bookmarkEnd w:id="320"/>
      <w:bookmarkEnd w:id="321"/>
      <w:bookmarkEnd w:id="322"/>
      <w:bookmarkEnd w:id="323"/>
      <w:bookmarkEnd w:id="324"/>
      <w:bookmarkEnd w:id="325"/>
      <w:bookmarkEnd w:id="326"/>
    </w:p>
    <w:p w:rsidR="00822B64" w:rsidRDefault="00822B64">
      <w:pPr>
        <w:snapToGrid w:val="0"/>
        <w:spacing w:line="360" w:lineRule="auto"/>
        <w:ind w:firstLineChars="200"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一、《基金合同》的变更</w:t>
      </w:r>
    </w:p>
    <w:p w:rsidR="00822B64" w:rsidRDefault="00E92BF7">
      <w:pPr>
        <w:adjustRightInd w:val="0"/>
        <w:snapToGrid w:val="0"/>
        <w:spacing w:line="360" w:lineRule="auto"/>
        <w:ind w:firstLine="420"/>
        <w:rPr>
          <w:rFonts w:ascii="宋体" w:hAnsi="宋体"/>
          <w:szCs w:val="21"/>
        </w:rPr>
      </w:pPr>
      <w:r>
        <w:rPr>
          <w:rFonts w:ascii="宋体" w:hAnsi="宋体"/>
          <w:szCs w:val="21"/>
        </w:rPr>
        <w:t>1、变更基金合同</w:t>
      </w:r>
      <w:r>
        <w:rPr>
          <w:rFonts w:ascii="宋体" w:hAnsi="宋体" w:hint="eastAsia"/>
          <w:szCs w:val="21"/>
        </w:rPr>
        <w:t>涉及</w:t>
      </w:r>
      <w:r>
        <w:rPr>
          <w:rFonts w:ascii="宋体" w:hAnsi="宋体"/>
          <w:szCs w:val="21"/>
        </w:rPr>
        <w:t>法律法规规定或</w:t>
      </w:r>
      <w:r>
        <w:rPr>
          <w:rFonts w:ascii="宋体" w:hAnsi="宋体" w:hint="eastAsia"/>
          <w:szCs w:val="21"/>
        </w:rPr>
        <w:t>基金</w:t>
      </w:r>
      <w:r>
        <w:rPr>
          <w:rFonts w:ascii="宋体" w:hAnsi="宋体"/>
          <w:szCs w:val="21"/>
        </w:rPr>
        <w:t>合同约定应经基金份额持有人大会决议通过的事项的，应召开基金份额持有人大会决议通过。对于</w:t>
      </w:r>
      <w:r>
        <w:rPr>
          <w:rFonts w:ascii="宋体" w:hAnsi="宋体" w:hint="eastAsia"/>
          <w:szCs w:val="21"/>
        </w:rPr>
        <w:t>法律法规规定和《基金合同》约定</w:t>
      </w:r>
      <w:r>
        <w:rPr>
          <w:rFonts w:ascii="宋体" w:hAnsi="宋体"/>
          <w:szCs w:val="21"/>
        </w:rPr>
        <w:t>可不经基金份额持有人大会决议通过的事项，由基金管理人和基金托管人同意后变更并公告，并报中国证监会备案。</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 xml:space="preserve"> </w:t>
      </w:r>
      <w:r>
        <w:rPr>
          <w:rFonts w:ascii="宋体" w:hAnsi="宋体"/>
          <w:szCs w:val="21"/>
        </w:rPr>
        <w:t>2、关于《基金合同》变更的基金份额持有人大会决议</w:t>
      </w:r>
      <w:r>
        <w:rPr>
          <w:rFonts w:ascii="宋体" w:hAnsi="宋体" w:hint="eastAsia"/>
          <w:szCs w:val="21"/>
        </w:rPr>
        <w:t>，自</w:t>
      </w:r>
      <w:r>
        <w:rPr>
          <w:rFonts w:ascii="宋体" w:hAnsi="宋体"/>
          <w:szCs w:val="21"/>
        </w:rPr>
        <w:t>生效后方可执行，自决议生效后</w:t>
      </w:r>
      <w:r>
        <w:rPr>
          <w:rFonts w:ascii="宋体" w:hAnsi="宋体" w:hint="eastAsia"/>
          <w:szCs w:val="21"/>
        </w:rPr>
        <w:t>两</w:t>
      </w:r>
      <w:r>
        <w:rPr>
          <w:rFonts w:ascii="宋体" w:hAnsi="宋体"/>
          <w:szCs w:val="21"/>
        </w:rPr>
        <w:t>日内在规定媒介公告。</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二、《基金合同》的终止事由</w:t>
      </w:r>
    </w:p>
    <w:p w:rsidR="00822B64" w:rsidRDefault="00E92BF7">
      <w:pPr>
        <w:adjustRightInd w:val="0"/>
        <w:snapToGrid w:val="0"/>
        <w:spacing w:line="360" w:lineRule="auto"/>
        <w:ind w:firstLine="420"/>
        <w:rPr>
          <w:rFonts w:ascii="宋体" w:hAnsi="宋体"/>
          <w:szCs w:val="21"/>
        </w:rPr>
      </w:pPr>
      <w:r>
        <w:rPr>
          <w:rFonts w:ascii="宋体" w:hAnsi="宋体"/>
          <w:szCs w:val="21"/>
        </w:rPr>
        <w:t>有下列情形之一的，</w:t>
      </w:r>
      <w:r>
        <w:rPr>
          <w:rFonts w:ascii="宋体" w:hAnsi="宋体" w:hint="eastAsia"/>
          <w:szCs w:val="21"/>
        </w:rPr>
        <w:t>经履行相关程序后，</w:t>
      </w:r>
      <w:r>
        <w:rPr>
          <w:rFonts w:ascii="宋体" w:hAnsi="宋体"/>
          <w:szCs w:val="21"/>
        </w:rPr>
        <w:t>《基金合同》应当终止：</w:t>
      </w:r>
    </w:p>
    <w:p w:rsidR="00822B64" w:rsidRDefault="00E92BF7">
      <w:pPr>
        <w:adjustRightInd w:val="0"/>
        <w:snapToGrid w:val="0"/>
        <w:spacing w:line="360" w:lineRule="auto"/>
        <w:ind w:firstLine="420"/>
        <w:rPr>
          <w:rFonts w:ascii="宋体" w:hAnsi="宋体"/>
          <w:szCs w:val="21"/>
        </w:rPr>
      </w:pPr>
      <w:r>
        <w:rPr>
          <w:rFonts w:ascii="宋体" w:hAnsi="宋体"/>
          <w:szCs w:val="21"/>
        </w:rPr>
        <w:t>1、基金份额持有人大会决定终止的；</w:t>
      </w:r>
    </w:p>
    <w:p w:rsidR="00822B64" w:rsidRDefault="00E92BF7">
      <w:pPr>
        <w:adjustRightInd w:val="0"/>
        <w:snapToGrid w:val="0"/>
        <w:spacing w:line="360" w:lineRule="auto"/>
        <w:ind w:firstLine="420"/>
        <w:rPr>
          <w:rFonts w:ascii="宋体" w:hAnsi="宋体"/>
          <w:szCs w:val="21"/>
        </w:rPr>
      </w:pPr>
      <w:r>
        <w:rPr>
          <w:rFonts w:ascii="宋体" w:hAnsi="宋体"/>
          <w:szCs w:val="21"/>
        </w:rPr>
        <w:t>2、基金管理人、基金托管人职责终止，在6个月内没有新基金管理人、新基金托管人承接的；</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3</w:t>
      </w:r>
      <w:r>
        <w:rPr>
          <w:rFonts w:ascii="宋体" w:hAnsi="宋体"/>
          <w:szCs w:val="21"/>
        </w:rPr>
        <w:t>、《基金合同》约定的其他情形；</w:t>
      </w:r>
    </w:p>
    <w:p w:rsidR="00822B64" w:rsidRDefault="00E92BF7">
      <w:pPr>
        <w:adjustRightInd w:val="0"/>
        <w:snapToGrid w:val="0"/>
        <w:spacing w:line="360" w:lineRule="auto"/>
        <w:ind w:firstLine="420"/>
        <w:rPr>
          <w:rFonts w:ascii="宋体" w:hAnsi="宋体"/>
          <w:szCs w:val="21"/>
        </w:rPr>
      </w:pPr>
      <w:r>
        <w:rPr>
          <w:rFonts w:ascii="宋体" w:hAnsi="宋体" w:hint="eastAsia"/>
          <w:szCs w:val="21"/>
        </w:rPr>
        <w:t>4</w:t>
      </w:r>
      <w:r>
        <w:rPr>
          <w:rFonts w:ascii="宋体" w:hAnsi="宋体"/>
          <w:szCs w:val="21"/>
        </w:rPr>
        <w:t>、相关法律法规和中国证监会规定的其他情况。</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三、基金财产的清算</w:t>
      </w:r>
    </w:p>
    <w:p w:rsidR="00822B64" w:rsidRDefault="00E92BF7">
      <w:pPr>
        <w:adjustRightInd w:val="0"/>
        <w:snapToGrid w:val="0"/>
        <w:spacing w:line="360" w:lineRule="auto"/>
        <w:ind w:firstLine="420"/>
        <w:rPr>
          <w:rFonts w:ascii="宋体" w:hAnsi="宋体"/>
          <w:szCs w:val="21"/>
        </w:rPr>
      </w:pPr>
      <w:r>
        <w:rPr>
          <w:rFonts w:ascii="宋体" w:hAnsi="宋体"/>
          <w:szCs w:val="21"/>
        </w:rPr>
        <w:t>1、基金财产清算小组：自出现基金合同终止事由之日起30个工作日内成立</w:t>
      </w:r>
      <w:r>
        <w:rPr>
          <w:rFonts w:ascii="宋体" w:hAnsi="宋体" w:hint="eastAsia"/>
          <w:szCs w:val="21"/>
        </w:rPr>
        <w:t>基金财产</w:t>
      </w:r>
      <w:r>
        <w:rPr>
          <w:rFonts w:ascii="宋体" w:hAnsi="宋体"/>
          <w:szCs w:val="21"/>
        </w:rPr>
        <w:t>清算小组，基金管理人组织基金财产清算小组并在中国证监会的监督下进行基金清算。</w:t>
      </w:r>
    </w:p>
    <w:p w:rsidR="00822B64" w:rsidRDefault="00E92BF7">
      <w:pPr>
        <w:adjustRightInd w:val="0"/>
        <w:snapToGrid w:val="0"/>
        <w:spacing w:line="360" w:lineRule="auto"/>
        <w:ind w:firstLine="420"/>
        <w:rPr>
          <w:rFonts w:ascii="宋体" w:hAnsi="宋体"/>
          <w:szCs w:val="21"/>
        </w:rPr>
      </w:pPr>
      <w:r>
        <w:rPr>
          <w:rFonts w:ascii="宋体" w:hAnsi="宋体"/>
          <w:szCs w:val="21"/>
        </w:rPr>
        <w:t>2、基金财产清算小组组成：基金财产清算小组成员由基金管理人、基金托管人、</w:t>
      </w:r>
      <w:r>
        <w:rPr>
          <w:rFonts w:ascii="宋体" w:hAnsi="宋体" w:hint="eastAsia"/>
          <w:szCs w:val="21"/>
        </w:rPr>
        <w:t>符合《中华人民共和国证券法》规定</w:t>
      </w:r>
      <w:r>
        <w:rPr>
          <w:rFonts w:ascii="宋体" w:hAnsi="宋体"/>
          <w:szCs w:val="21"/>
        </w:rPr>
        <w:t>的注册会计师、律师以及中国证监会指定的人员组成。基金财产清算小组可以聘用必要的工作人员。</w:t>
      </w:r>
    </w:p>
    <w:p w:rsidR="00822B64" w:rsidRDefault="00E92BF7">
      <w:pPr>
        <w:adjustRightInd w:val="0"/>
        <w:snapToGrid w:val="0"/>
        <w:spacing w:line="360" w:lineRule="auto"/>
        <w:ind w:firstLine="420"/>
        <w:rPr>
          <w:rFonts w:ascii="宋体" w:hAnsi="宋体"/>
          <w:szCs w:val="21"/>
        </w:rPr>
      </w:pPr>
      <w:r>
        <w:rPr>
          <w:rFonts w:ascii="宋体" w:hAnsi="宋体"/>
          <w:szCs w:val="21"/>
        </w:rPr>
        <w:t>3、基金财产清算小组职责：基金财产清算小组负责基金财产的保管、清理、估价、变现和分配。基金财产清算小组可以依法进行必要的民事活动。</w:t>
      </w:r>
    </w:p>
    <w:p w:rsidR="00822B64" w:rsidRDefault="00E92BF7">
      <w:pPr>
        <w:adjustRightInd w:val="0"/>
        <w:snapToGrid w:val="0"/>
        <w:spacing w:line="360" w:lineRule="auto"/>
        <w:ind w:firstLine="420"/>
        <w:rPr>
          <w:rFonts w:ascii="宋体" w:hAnsi="宋体"/>
          <w:szCs w:val="21"/>
        </w:rPr>
      </w:pPr>
      <w:r>
        <w:rPr>
          <w:rFonts w:ascii="宋体" w:hAnsi="宋体"/>
          <w:szCs w:val="21"/>
        </w:rPr>
        <w:t>4、基金财产清算程序：</w:t>
      </w:r>
    </w:p>
    <w:p w:rsidR="00822B64" w:rsidRDefault="00E92BF7">
      <w:pPr>
        <w:adjustRightInd w:val="0"/>
        <w:snapToGrid w:val="0"/>
        <w:spacing w:line="360" w:lineRule="auto"/>
        <w:ind w:firstLine="420"/>
        <w:rPr>
          <w:rFonts w:ascii="宋体" w:hAnsi="宋体"/>
          <w:szCs w:val="21"/>
        </w:rPr>
      </w:pPr>
      <w:r>
        <w:rPr>
          <w:rFonts w:ascii="宋体" w:hAnsi="宋体"/>
          <w:szCs w:val="21"/>
        </w:rPr>
        <w:t>（1）《基金合同》终止情形出现时，由基金财产清算小组统一接管基金</w:t>
      </w:r>
      <w:r>
        <w:rPr>
          <w:rFonts w:ascii="宋体" w:hAnsi="宋体" w:hint="eastAsia"/>
          <w:szCs w:val="21"/>
        </w:rPr>
        <w:t>财产</w:t>
      </w:r>
      <w:r>
        <w:rPr>
          <w:rFonts w:ascii="宋体" w:hAnsi="宋体"/>
          <w:szCs w:val="21"/>
        </w:rPr>
        <w:t>；</w:t>
      </w:r>
    </w:p>
    <w:p w:rsidR="00822B64" w:rsidRDefault="00E92BF7">
      <w:pPr>
        <w:adjustRightInd w:val="0"/>
        <w:snapToGrid w:val="0"/>
        <w:spacing w:line="360" w:lineRule="auto"/>
        <w:ind w:firstLine="420"/>
        <w:rPr>
          <w:rFonts w:ascii="宋体" w:hAnsi="宋体"/>
          <w:szCs w:val="21"/>
        </w:rPr>
      </w:pPr>
      <w:r>
        <w:rPr>
          <w:rFonts w:ascii="宋体" w:hAnsi="宋体"/>
          <w:szCs w:val="21"/>
        </w:rPr>
        <w:t>（2）对基金财产和债权债务进行清理和确认；</w:t>
      </w:r>
    </w:p>
    <w:p w:rsidR="00822B64" w:rsidRDefault="00E92BF7">
      <w:pPr>
        <w:adjustRightInd w:val="0"/>
        <w:snapToGrid w:val="0"/>
        <w:spacing w:line="360" w:lineRule="auto"/>
        <w:ind w:firstLine="420"/>
        <w:rPr>
          <w:rFonts w:ascii="宋体" w:hAnsi="宋体"/>
          <w:szCs w:val="21"/>
        </w:rPr>
      </w:pPr>
      <w:r>
        <w:rPr>
          <w:rFonts w:ascii="宋体" w:hAnsi="宋体"/>
          <w:szCs w:val="21"/>
        </w:rPr>
        <w:t>（3）对基金财产进行估值和变现；</w:t>
      </w:r>
    </w:p>
    <w:p w:rsidR="00822B64" w:rsidRDefault="00E92BF7">
      <w:pPr>
        <w:adjustRightInd w:val="0"/>
        <w:snapToGrid w:val="0"/>
        <w:spacing w:line="360" w:lineRule="auto"/>
        <w:ind w:firstLine="420"/>
        <w:rPr>
          <w:rFonts w:ascii="宋体" w:hAnsi="宋体"/>
          <w:szCs w:val="21"/>
        </w:rPr>
      </w:pPr>
      <w:r>
        <w:rPr>
          <w:rFonts w:ascii="宋体" w:hAnsi="宋体"/>
          <w:szCs w:val="21"/>
        </w:rPr>
        <w:t>（4）制作清算报告；</w:t>
      </w:r>
    </w:p>
    <w:p w:rsidR="00822B64" w:rsidRDefault="00E92BF7">
      <w:pPr>
        <w:adjustRightInd w:val="0"/>
        <w:snapToGrid w:val="0"/>
        <w:spacing w:line="360" w:lineRule="auto"/>
        <w:ind w:firstLine="420"/>
        <w:rPr>
          <w:rFonts w:ascii="宋体" w:hAnsi="宋体"/>
          <w:szCs w:val="21"/>
        </w:rPr>
      </w:pPr>
      <w:r>
        <w:rPr>
          <w:rFonts w:ascii="宋体" w:hAnsi="宋体"/>
          <w:szCs w:val="21"/>
        </w:rPr>
        <w:t>（5）聘请会计师事务所对清算报告进行外部审计，聘请律师事务所对清算报告出具法律意见书；</w:t>
      </w:r>
    </w:p>
    <w:p w:rsidR="00822B64" w:rsidRDefault="00E92BF7">
      <w:pPr>
        <w:adjustRightInd w:val="0"/>
        <w:snapToGrid w:val="0"/>
        <w:spacing w:line="360" w:lineRule="auto"/>
        <w:ind w:firstLine="420"/>
        <w:rPr>
          <w:rFonts w:ascii="宋体" w:hAnsi="宋体"/>
          <w:szCs w:val="21"/>
        </w:rPr>
      </w:pPr>
      <w:r>
        <w:rPr>
          <w:rFonts w:ascii="宋体" w:hAnsi="宋体"/>
          <w:szCs w:val="21"/>
        </w:rPr>
        <w:lastRenderedPageBreak/>
        <w:t>（6）将清算报告报中国证监会备案并公告</w:t>
      </w:r>
      <w:r>
        <w:rPr>
          <w:rFonts w:ascii="宋体" w:hAnsi="宋体" w:hint="eastAsia"/>
          <w:szCs w:val="21"/>
        </w:rPr>
        <w:t>；</w:t>
      </w:r>
    </w:p>
    <w:p w:rsidR="00822B64" w:rsidRDefault="00E92BF7">
      <w:pPr>
        <w:adjustRightInd w:val="0"/>
        <w:snapToGrid w:val="0"/>
        <w:spacing w:line="360" w:lineRule="auto"/>
        <w:ind w:firstLine="420"/>
        <w:rPr>
          <w:rFonts w:ascii="宋体" w:hAnsi="宋体"/>
          <w:szCs w:val="21"/>
        </w:rPr>
      </w:pPr>
      <w:r>
        <w:rPr>
          <w:rFonts w:ascii="宋体" w:hAnsi="宋体"/>
          <w:szCs w:val="21"/>
        </w:rPr>
        <w:t>（7）对基金</w:t>
      </w:r>
      <w:r>
        <w:rPr>
          <w:rFonts w:ascii="宋体" w:hAnsi="宋体" w:hint="eastAsia"/>
          <w:szCs w:val="21"/>
        </w:rPr>
        <w:t>剩余</w:t>
      </w:r>
      <w:r>
        <w:rPr>
          <w:rFonts w:ascii="宋体" w:hAnsi="宋体"/>
          <w:szCs w:val="21"/>
        </w:rPr>
        <w:t>财产进行分配</w:t>
      </w:r>
      <w:r>
        <w:rPr>
          <w:rFonts w:ascii="宋体" w:hAnsi="宋体" w:hint="eastAsia"/>
          <w:szCs w:val="21"/>
        </w:rPr>
        <w:t>。</w:t>
      </w:r>
    </w:p>
    <w:p w:rsidR="00822B64" w:rsidRDefault="00E92BF7">
      <w:pPr>
        <w:adjustRightInd w:val="0"/>
        <w:snapToGrid w:val="0"/>
        <w:spacing w:line="360" w:lineRule="auto"/>
        <w:ind w:firstLine="420"/>
        <w:rPr>
          <w:rFonts w:ascii="宋体" w:hAnsi="宋体"/>
          <w:szCs w:val="21"/>
        </w:rPr>
      </w:pPr>
      <w:r>
        <w:rPr>
          <w:rFonts w:ascii="宋体" w:hAnsi="宋体"/>
          <w:szCs w:val="21"/>
        </w:rPr>
        <w:t>5、基金财产清算的期限为</w:t>
      </w:r>
      <w:r>
        <w:rPr>
          <w:rFonts w:ascii="宋体" w:hAnsi="宋体" w:hint="eastAsia"/>
          <w:szCs w:val="21"/>
        </w:rPr>
        <w:t>6</w:t>
      </w:r>
      <w:r>
        <w:rPr>
          <w:rFonts w:ascii="宋体" w:hAnsi="宋体"/>
          <w:szCs w:val="21"/>
        </w:rPr>
        <w:t>个月</w:t>
      </w:r>
      <w:r>
        <w:rPr>
          <w:rFonts w:ascii="宋体" w:hAnsi="宋体"/>
          <w:bCs/>
          <w:szCs w:val="21"/>
        </w:rPr>
        <w:t>，但因本基金所持证券的流动性受到限制而不能及时变现的，清算期限相应顺延</w:t>
      </w:r>
      <w:r>
        <w:rPr>
          <w:rFonts w:ascii="宋体" w:hAnsi="宋体"/>
          <w:szCs w:val="21"/>
        </w:rPr>
        <w:t>。</w:t>
      </w:r>
    </w:p>
    <w:p w:rsidR="00822B64" w:rsidRDefault="00822B64">
      <w:pPr>
        <w:adjustRightInd w:val="0"/>
        <w:snapToGrid w:val="0"/>
        <w:spacing w:line="360" w:lineRule="auto"/>
        <w:ind w:firstLine="420"/>
        <w:rPr>
          <w:rFonts w:ascii="宋体" w:hAnsi="宋体"/>
          <w:bCs/>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四、清算费用</w:t>
      </w:r>
    </w:p>
    <w:p w:rsidR="00822B64" w:rsidRDefault="00E92BF7">
      <w:pPr>
        <w:adjustRightInd w:val="0"/>
        <w:snapToGrid w:val="0"/>
        <w:spacing w:line="360" w:lineRule="auto"/>
        <w:ind w:firstLine="420"/>
        <w:rPr>
          <w:rFonts w:ascii="宋体" w:hAnsi="宋体"/>
          <w:szCs w:val="21"/>
        </w:rPr>
      </w:pPr>
      <w:r>
        <w:rPr>
          <w:rFonts w:ascii="宋体" w:hAnsi="宋体"/>
          <w:szCs w:val="21"/>
        </w:rPr>
        <w:t>清算费用是指基金财产清算小组在进行基金清算过程中发生的所有合理费用，清算费用由基金财产清算小组优先从基金</w:t>
      </w:r>
      <w:r>
        <w:rPr>
          <w:rFonts w:ascii="宋体" w:hAnsi="宋体" w:hint="eastAsia"/>
          <w:szCs w:val="21"/>
        </w:rPr>
        <w:t>剩余</w:t>
      </w:r>
      <w:r>
        <w:rPr>
          <w:rFonts w:ascii="宋体" w:hAnsi="宋体"/>
          <w:szCs w:val="21"/>
        </w:rPr>
        <w:t>财产中支付。</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五、基金财产清算剩余资产的分配</w:t>
      </w:r>
    </w:p>
    <w:p w:rsidR="00822B64" w:rsidRDefault="00E92BF7">
      <w:pPr>
        <w:adjustRightInd w:val="0"/>
        <w:snapToGrid w:val="0"/>
        <w:spacing w:line="360" w:lineRule="auto"/>
        <w:ind w:firstLine="420"/>
        <w:rPr>
          <w:rFonts w:ascii="宋体" w:hAnsi="宋体"/>
          <w:szCs w:val="21"/>
        </w:rPr>
      </w:pPr>
      <w:r>
        <w:rPr>
          <w:rFonts w:ascii="宋体" w:hAnsi="宋体"/>
          <w:szCs w:val="21"/>
        </w:rPr>
        <w:t>依据基金财产清算的分配方案，将基金财产清算后的全部剩余资产扣除基金财产清算费用、交纳所欠税款并清偿基金债务后，按基金份额持有人持有的基金份额比例进行分配。</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六、基金财产清算的公告</w:t>
      </w:r>
    </w:p>
    <w:p w:rsidR="00822B64" w:rsidRDefault="00E92BF7">
      <w:pPr>
        <w:adjustRightInd w:val="0"/>
        <w:snapToGrid w:val="0"/>
        <w:spacing w:line="360" w:lineRule="auto"/>
        <w:ind w:firstLine="420"/>
        <w:rPr>
          <w:rFonts w:ascii="宋体" w:hAnsi="宋体"/>
          <w:szCs w:val="21"/>
        </w:rPr>
      </w:pPr>
      <w:r>
        <w:rPr>
          <w:rFonts w:ascii="宋体" w:hAnsi="宋体"/>
          <w:szCs w:val="21"/>
        </w:rPr>
        <w:t>清算过程中的有关重大事项须及时公告；基金财产清算报告经</w:t>
      </w:r>
      <w:r>
        <w:rPr>
          <w:rFonts w:ascii="宋体" w:hAnsi="宋体" w:hint="eastAsia"/>
          <w:szCs w:val="21"/>
        </w:rPr>
        <w:t>符合《中华人民共和国证券法》规定的</w:t>
      </w:r>
      <w:r>
        <w:rPr>
          <w:rFonts w:ascii="宋体" w:hAnsi="宋体"/>
          <w:szCs w:val="21"/>
        </w:rPr>
        <w:t>会计师事务所审计并由律师事务所出具法律意见书后报中国证监会备案并公告。基金财产清算公告于基金财产清算报告报中国证监会备案后</w:t>
      </w:r>
      <w:r>
        <w:rPr>
          <w:rFonts w:ascii="宋体" w:hAnsi="宋体" w:hint="eastAsia"/>
          <w:szCs w:val="21"/>
        </w:rPr>
        <w:t>5</w:t>
      </w:r>
      <w:r>
        <w:rPr>
          <w:rFonts w:ascii="宋体" w:hAnsi="宋体"/>
          <w:szCs w:val="21"/>
        </w:rPr>
        <w:t>个工作日内由基金财产清算小组进行公告</w:t>
      </w:r>
      <w:r>
        <w:rPr>
          <w:rFonts w:ascii="宋体" w:hAnsi="宋体" w:hint="eastAsia"/>
          <w:bCs/>
          <w:szCs w:val="21"/>
        </w:rPr>
        <w:t>，基金财产清算小组应当将清算报告登载在规定网站上，并将清算报告提示性公告登载在规定报刊上</w:t>
      </w:r>
      <w:r>
        <w:rPr>
          <w:rFonts w:ascii="宋体" w:hAnsi="宋体"/>
          <w:szCs w:val="21"/>
        </w:rPr>
        <w:t>。</w:t>
      </w:r>
    </w:p>
    <w:p w:rsidR="00822B64" w:rsidRDefault="00822B64">
      <w:pPr>
        <w:adjustRightInd w:val="0"/>
        <w:snapToGrid w:val="0"/>
        <w:spacing w:line="360" w:lineRule="auto"/>
        <w:ind w:firstLine="420"/>
        <w:rPr>
          <w:rFonts w:ascii="宋体" w:hAnsi="宋体"/>
          <w:szCs w:val="21"/>
        </w:rPr>
      </w:pPr>
    </w:p>
    <w:p w:rsidR="00822B64" w:rsidRDefault="00E92BF7">
      <w:pPr>
        <w:adjustRightInd w:val="0"/>
        <w:snapToGrid w:val="0"/>
        <w:spacing w:line="360" w:lineRule="auto"/>
        <w:ind w:firstLineChars="200" w:firstLine="422"/>
        <w:rPr>
          <w:rFonts w:ascii="宋体" w:hAnsi="宋体"/>
          <w:b/>
          <w:szCs w:val="21"/>
        </w:rPr>
      </w:pPr>
      <w:r>
        <w:rPr>
          <w:rFonts w:ascii="宋体" w:hAnsi="宋体"/>
          <w:b/>
          <w:szCs w:val="21"/>
        </w:rPr>
        <w:t>七、基金财产清算账册及文件的保存</w:t>
      </w:r>
    </w:p>
    <w:p w:rsidR="00822B64" w:rsidRDefault="00E92BF7">
      <w:pPr>
        <w:adjustRightInd w:val="0"/>
        <w:snapToGrid w:val="0"/>
        <w:spacing w:line="360" w:lineRule="auto"/>
        <w:ind w:firstLineChars="200" w:firstLine="420"/>
        <w:rPr>
          <w:bCs/>
          <w:szCs w:val="21"/>
        </w:rPr>
      </w:pPr>
      <w:r>
        <w:rPr>
          <w:rFonts w:ascii="宋体" w:hAnsi="宋体"/>
          <w:szCs w:val="21"/>
        </w:rPr>
        <w:t>基金财产清算账册及有关文件由基金托管人保存</w:t>
      </w:r>
      <w:r>
        <w:rPr>
          <w:rFonts w:ascii="宋体" w:hAnsi="宋体" w:hint="eastAsia"/>
          <w:szCs w:val="21"/>
        </w:rPr>
        <w:t>期限不低于法律法规规定的最低期限</w:t>
      </w:r>
      <w:r>
        <w:rPr>
          <w:rFonts w:ascii="宋体" w:hAnsi="宋体"/>
          <w:szCs w:val="21"/>
        </w:rPr>
        <w:t>。</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80"/>
        <w:rPr>
          <w:rFonts w:ascii="宋体" w:hAnsi="宋体"/>
        </w:rPr>
      </w:pPr>
      <w:r>
        <w:rPr>
          <w:rFonts w:ascii="宋体" w:hAnsi="宋体"/>
          <w:kern w:val="0"/>
          <w:sz w:val="24"/>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27" w:name="_Toc360793862"/>
      <w:bookmarkStart w:id="328" w:name="_Toc48808897"/>
      <w:bookmarkStart w:id="329" w:name="_Toc360794112"/>
      <w:bookmarkStart w:id="330" w:name="_Toc360793510"/>
      <w:bookmarkStart w:id="331" w:name="_Toc360794420"/>
      <w:bookmarkStart w:id="332" w:name="_Toc362533467"/>
      <w:bookmarkStart w:id="333" w:name="_Toc360794528"/>
      <w:bookmarkStart w:id="334" w:name="_Toc362455195"/>
      <w:r>
        <w:rPr>
          <w:rFonts w:ascii="宋体" w:eastAsia="宋体" w:hAnsi="宋体" w:hint="eastAsia"/>
        </w:rPr>
        <w:lastRenderedPageBreak/>
        <w:t>基金合同的内容摘要</w:t>
      </w:r>
      <w:bookmarkEnd w:id="327"/>
      <w:bookmarkEnd w:id="328"/>
      <w:bookmarkEnd w:id="329"/>
      <w:bookmarkEnd w:id="330"/>
      <w:bookmarkEnd w:id="331"/>
      <w:bookmarkEnd w:id="332"/>
      <w:bookmarkEnd w:id="333"/>
      <w:bookmarkEnd w:id="334"/>
    </w:p>
    <w:p w:rsidR="00822B64" w:rsidRDefault="00822B64">
      <w:pPr>
        <w:snapToGrid w:val="0"/>
        <w:spacing w:line="360" w:lineRule="auto"/>
      </w:pPr>
    </w:p>
    <w:p w:rsidR="00822B64" w:rsidRDefault="00E92BF7">
      <w:pPr>
        <w:snapToGrid w:val="0"/>
        <w:spacing w:line="360" w:lineRule="auto"/>
        <w:ind w:firstLineChars="200" w:firstLine="420"/>
        <w:rPr>
          <w:bCs/>
        </w:rPr>
      </w:pPr>
      <w:r>
        <w:rPr>
          <w:rFonts w:hint="eastAsia"/>
          <w:bCs/>
        </w:rPr>
        <w:t>一、基金份额持有人、基金管理人和基金托管人的权利、义务</w:t>
      </w:r>
    </w:p>
    <w:p w:rsidR="00822B64" w:rsidRDefault="00E92BF7">
      <w:pPr>
        <w:snapToGrid w:val="0"/>
        <w:spacing w:line="360" w:lineRule="auto"/>
        <w:ind w:firstLineChars="200" w:firstLine="420"/>
        <w:rPr>
          <w:bCs/>
        </w:rPr>
      </w:pPr>
      <w:r>
        <w:rPr>
          <w:rFonts w:hint="eastAsia"/>
          <w:bCs/>
        </w:rPr>
        <w:t>（一）基金份额持有人的权利、义务</w:t>
      </w:r>
    </w:p>
    <w:p w:rsidR="00822B64" w:rsidRDefault="00E92BF7">
      <w:pPr>
        <w:snapToGrid w:val="0"/>
        <w:spacing w:line="360" w:lineRule="auto"/>
        <w:ind w:firstLineChars="200" w:firstLine="420"/>
        <w:rPr>
          <w:bCs/>
        </w:rPr>
      </w:pPr>
      <w:r>
        <w:rPr>
          <w:rFonts w:hint="eastAsia"/>
          <w:bCs/>
        </w:rPr>
        <w:t>基金投资者持有本基金基金份额的行为即视为对《基金合同》的承认和接受，基金投资者自依据《基金合同》取得基金份额，即成为本基金的基金份额持有人和《基金合同》的当事人，直至其不再持有本基金的基金份额。基金份额持有人作为《基金合同》当事人并不以在《基金合同》上书面签章或签字为必要条件。</w:t>
      </w:r>
    </w:p>
    <w:p w:rsidR="00822B64" w:rsidRDefault="00E92BF7">
      <w:pPr>
        <w:snapToGrid w:val="0"/>
        <w:spacing w:line="360" w:lineRule="auto"/>
        <w:ind w:firstLineChars="200" w:firstLine="420"/>
        <w:rPr>
          <w:bCs/>
        </w:rPr>
      </w:pPr>
      <w:r>
        <w:rPr>
          <w:rFonts w:hint="eastAsia"/>
          <w:bCs/>
        </w:rPr>
        <w:t>每份基金份额具有同等的合法权益。</w:t>
      </w:r>
    </w:p>
    <w:p w:rsidR="00822B64" w:rsidRDefault="00E92BF7">
      <w:pPr>
        <w:snapToGrid w:val="0"/>
        <w:spacing w:line="360" w:lineRule="auto"/>
        <w:ind w:firstLineChars="200" w:firstLine="420"/>
        <w:rPr>
          <w:bCs/>
        </w:rPr>
      </w:pPr>
      <w:r>
        <w:rPr>
          <w:rFonts w:hint="eastAsia"/>
          <w:bCs/>
        </w:rPr>
        <w:t>1</w:t>
      </w:r>
      <w:r>
        <w:rPr>
          <w:rFonts w:hint="eastAsia"/>
          <w:bCs/>
        </w:rPr>
        <w:t>、根据《基金法》、《运作办法》及其他有关规定，基金份额持有人的权利包括但不限于：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）分享基金财产收益；</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）参与分配清算后的剩余基金财产；</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）在开放期内，依法转让或者申请赎回其持有的基金份额；</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）按照规定要求召开基金份额持有人大会或者召集基金份额持有人大会；</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）出席或者委派代表出席基金份额持有人大会，对基金份额持有人大会审议事项行使表决权；</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）查阅或者复制公开披露的基金信息资料；</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）监督基金管理人的投资运作；</w:t>
      </w:r>
    </w:p>
    <w:p w:rsidR="00822B64" w:rsidRDefault="00E92BF7">
      <w:pPr>
        <w:snapToGrid w:val="0"/>
        <w:spacing w:line="360" w:lineRule="auto"/>
        <w:ind w:firstLineChars="200" w:firstLine="420"/>
        <w:rPr>
          <w:bCs/>
        </w:rPr>
      </w:pPr>
      <w:r>
        <w:rPr>
          <w:rFonts w:hint="eastAsia"/>
          <w:bCs/>
        </w:rPr>
        <w:t>（</w:t>
      </w:r>
      <w:r>
        <w:rPr>
          <w:rFonts w:hint="eastAsia"/>
          <w:bCs/>
        </w:rPr>
        <w:t>8</w:t>
      </w:r>
      <w:r>
        <w:rPr>
          <w:rFonts w:hint="eastAsia"/>
          <w:bCs/>
        </w:rPr>
        <w:t>）对基金管理人、基金托管人、基金服务机构损害其合法权益的行为依法提起诉讼或仲裁；</w:t>
      </w:r>
    </w:p>
    <w:p w:rsidR="00822B64" w:rsidRDefault="00E92BF7">
      <w:pPr>
        <w:snapToGrid w:val="0"/>
        <w:spacing w:line="360" w:lineRule="auto"/>
        <w:ind w:firstLineChars="200" w:firstLine="420"/>
        <w:rPr>
          <w:bCs/>
        </w:rPr>
      </w:pPr>
      <w:r>
        <w:rPr>
          <w:rFonts w:hint="eastAsia"/>
          <w:bCs/>
        </w:rPr>
        <w:t>（</w:t>
      </w:r>
      <w:r>
        <w:rPr>
          <w:rFonts w:hint="eastAsia"/>
          <w:bCs/>
        </w:rPr>
        <w:t>9</w:t>
      </w:r>
      <w:r>
        <w:rPr>
          <w:rFonts w:hint="eastAsia"/>
          <w:bCs/>
        </w:rPr>
        <w:t>）法律法规及中国证监会规定的和《基金合同》约定的其他权利。</w:t>
      </w:r>
    </w:p>
    <w:p w:rsidR="00822B64" w:rsidRDefault="00E92BF7">
      <w:pPr>
        <w:snapToGrid w:val="0"/>
        <w:spacing w:line="360" w:lineRule="auto"/>
        <w:ind w:firstLineChars="200" w:firstLine="420"/>
        <w:rPr>
          <w:bCs/>
        </w:rPr>
      </w:pPr>
      <w:r>
        <w:rPr>
          <w:rFonts w:hint="eastAsia"/>
          <w:bCs/>
        </w:rPr>
        <w:t>2</w:t>
      </w:r>
      <w:r>
        <w:rPr>
          <w:rFonts w:hint="eastAsia"/>
          <w:bCs/>
        </w:rPr>
        <w:t>、根据《基金法》、《运作办法》及其他有关规定，基金份额持有人的义务包括但不限于：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）认真阅读并遵守《基金合同》、招募说明书等信息披露文件；</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）了解所投资基金产品，了解自身风险承受能力，自主判断基金的投资价值，自主做出投资决策，自行承担投资风险；</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）关注基金信息披露，及时行使权利和履行义务；</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）交纳基金认购、申购款项及法律法规和《基金合同》所规定的费用；</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）在其持有的基金份额范围内，承担基金亏损或者《基金合同》终止的有限责任；</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）不从事任何有损基金及其他《基金合同》当事人合法权益的活动；</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）执行生效的基金份额持有人大会的决议；</w:t>
      </w:r>
    </w:p>
    <w:p w:rsidR="00822B64" w:rsidRDefault="00E92BF7">
      <w:pPr>
        <w:snapToGrid w:val="0"/>
        <w:spacing w:line="360" w:lineRule="auto"/>
        <w:ind w:firstLineChars="200" w:firstLine="420"/>
        <w:rPr>
          <w:bCs/>
        </w:rPr>
      </w:pPr>
      <w:r>
        <w:rPr>
          <w:rFonts w:hint="eastAsia"/>
          <w:bCs/>
        </w:rPr>
        <w:t>（</w:t>
      </w:r>
      <w:r>
        <w:rPr>
          <w:rFonts w:hint="eastAsia"/>
          <w:bCs/>
        </w:rPr>
        <w:t>8</w:t>
      </w:r>
      <w:r>
        <w:rPr>
          <w:rFonts w:hint="eastAsia"/>
          <w:bCs/>
        </w:rPr>
        <w:t>）返还在基金交易过程中因任何原因获得的不当得利；</w:t>
      </w:r>
    </w:p>
    <w:p w:rsidR="00822B64" w:rsidRDefault="00E92BF7">
      <w:pPr>
        <w:snapToGrid w:val="0"/>
        <w:spacing w:line="360" w:lineRule="auto"/>
        <w:ind w:firstLineChars="200" w:firstLine="420"/>
        <w:rPr>
          <w:bCs/>
        </w:rPr>
      </w:pPr>
      <w:r>
        <w:rPr>
          <w:rFonts w:hint="eastAsia"/>
          <w:bCs/>
        </w:rPr>
        <w:lastRenderedPageBreak/>
        <w:t>（</w:t>
      </w:r>
      <w:r>
        <w:rPr>
          <w:rFonts w:hint="eastAsia"/>
          <w:bCs/>
        </w:rPr>
        <w:t>9</w:t>
      </w:r>
      <w:r>
        <w:rPr>
          <w:rFonts w:hint="eastAsia"/>
          <w:bCs/>
        </w:rPr>
        <w:t>）法律法规及中国证监会规定的和《基金合同》约定的其他义务。</w:t>
      </w:r>
    </w:p>
    <w:p w:rsidR="00822B64" w:rsidRDefault="00E92BF7">
      <w:pPr>
        <w:snapToGrid w:val="0"/>
        <w:spacing w:line="360" w:lineRule="auto"/>
        <w:ind w:firstLineChars="200" w:firstLine="420"/>
        <w:rPr>
          <w:bCs/>
        </w:rPr>
      </w:pPr>
      <w:r>
        <w:rPr>
          <w:rFonts w:hint="eastAsia"/>
          <w:bCs/>
        </w:rPr>
        <w:t>（二）基金管理人的权利与义务</w:t>
      </w:r>
    </w:p>
    <w:p w:rsidR="00822B64" w:rsidRDefault="00E92BF7">
      <w:pPr>
        <w:snapToGrid w:val="0"/>
        <w:spacing w:line="360" w:lineRule="auto"/>
        <w:ind w:firstLineChars="200" w:firstLine="420"/>
        <w:rPr>
          <w:bCs/>
        </w:rPr>
      </w:pPr>
      <w:r>
        <w:rPr>
          <w:rFonts w:hint="eastAsia"/>
          <w:bCs/>
        </w:rPr>
        <w:t>1</w:t>
      </w:r>
      <w:r>
        <w:rPr>
          <w:rFonts w:hint="eastAsia"/>
          <w:bCs/>
        </w:rPr>
        <w:t>、根据《基金法》、《运作办法》及其他有关规定，基金管理人的权利包括但不限于：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）依法募集资金；</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）自《基金合同》生效之日起，根据法律法规和《基金合同》独立运用并管理基金财产；</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）依照《基金合同》收取基金管理费以及法律法规规定或中国证监会批准的其他费用；</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）销售基金份额；</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）按照规定召集基金份额持有人大会；</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）依据《基金合同》及有关法律规定监督基金托管人，如认为基金托管人违反了《基金合同》及国家有关法律规定，应呈报中国证监会和其他监管部门，并采取必要措施保护基金投资者的利益；</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）在基金托管人更换时，提名新的基金托管人；</w:t>
      </w:r>
    </w:p>
    <w:p w:rsidR="00822B64" w:rsidRDefault="00E92BF7">
      <w:pPr>
        <w:snapToGrid w:val="0"/>
        <w:spacing w:line="360" w:lineRule="auto"/>
        <w:ind w:firstLineChars="200" w:firstLine="420"/>
        <w:rPr>
          <w:bCs/>
        </w:rPr>
      </w:pPr>
      <w:r>
        <w:rPr>
          <w:rFonts w:hint="eastAsia"/>
          <w:bCs/>
        </w:rPr>
        <w:t>（</w:t>
      </w:r>
      <w:r>
        <w:rPr>
          <w:rFonts w:hint="eastAsia"/>
          <w:bCs/>
        </w:rPr>
        <w:t>8</w:t>
      </w:r>
      <w:r>
        <w:rPr>
          <w:rFonts w:hint="eastAsia"/>
          <w:bCs/>
        </w:rPr>
        <w:t>）选择、更换基金销售机构，对基金销售机构的相关行为进行监督和处理；</w:t>
      </w:r>
      <w:r>
        <w:rPr>
          <w:rFonts w:hint="eastAsia"/>
          <w:bCs/>
        </w:rPr>
        <w:t xml:space="preserve"> </w:t>
      </w:r>
    </w:p>
    <w:p w:rsidR="00822B64" w:rsidRDefault="00E92BF7">
      <w:pPr>
        <w:snapToGrid w:val="0"/>
        <w:spacing w:line="360" w:lineRule="auto"/>
        <w:ind w:firstLineChars="200" w:firstLine="420"/>
        <w:rPr>
          <w:bCs/>
        </w:rPr>
      </w:pPr>
      <w:r>
        <w:rPr>
          <w:rFonts w:hint="eastAsia"/>
          <w:bCs/>
        </w:rPr>
        <w:t>（</w:t>
      </w:r>
      <w:r>
        <w:rPr>
          <w:rFonts w:hint="eastAsia"/>
          <w:bCs/>
        </w:rPr>
        <w:t>9</w:t>
      </w:r>
      <w:r>
        <w:rPr>
          <w:rFonts w:hint="eastAsia"/>
          <w:bCs/>
        </w:rPr>
        <w:t>）担任或委托其他符合条件的机构担任基金登记机构办理基金登记业务并获得《基金合同》规定的费用；</w:t>
      </w:r>
      <w:r>
        <w:rPr>
          <w:rFonts w:hint="eastAsia"/>
          <w:bCs/>
        </w:rPr>
        <w:t xml:space="preserve"> </w:t>
      </w:r>
    </w:p>
    <w:p w:rsidR="00822B64" w:rsidRDefault="00E92BF7">
      <w:pPr>
        <w:snapToGrid w:val="0"/>
        <w:spacing w:line="360" w:lineRule="auto"/>
        <w:ind w:firstLineChars="200" w:firstLine="420"/>
        <w:rPr>
          <w:bCs/>
        </w:rPr>
      </w:pPr>
      <w:r>
        <w:rPr>
          <w:rFonts w:hint="eastAsia"/>
          <w:bCs/>
        </w:rPr>
        <w:t>（</w:t>
      </w:r>
      <w:r>
        <w:rPr>
          <w:rFonts w:hint="eastAsia"/>
          <w:bCs/>
        </w:rPr>
        <w:t>10</w:t>
      </w:r>
      <w:r>
        <w:rPr>
          <w:rFonts w:hint="eastAsia"/>
          <w:bCs/>
        </w:rPr>
        <w:t>）依据《基金合同》及有关法律规定决定基金收益的分配方案；</w:t>
      </w:r>
      <w:r>
        <w:rPr>
          <w:rFonts w:hint="eastAsia"/>
          <w:bCs/>
        </w:rPr>
        <w:tab/>
      </w:r>
    </w:p>
    <w:p w:rsidR="00822B64" w:rsidRDefault="00E92BF7">
      <w:pPr>
        <w:snapToGrid w:val="0"/>
        <w:spacing w:line="360" w:lineRule="auto"/>
        <w:ind w:firstLineChars="200" w:firstLine="420"/>
        <w:rPr>
          <w:bCs/>
        </w:rPr>
      </w:pPr>
      <w:r>
        <w:rPr>
          <w:rFonts w:hint="eastAsia"/>
          <w:bCs/>
        </w:rPr>
        <w:t>（</w:t>
      </w:r>
      <w:r>
        <w:rPr>
          <w:rFonts w:hint="eastAsia"/>
          <w:bCs/>
        </w:rPr>
        <w:t>11</w:t>
      </w:r>
      <w:r>
        <w:rPr>
          <w:rFonts w:hint="eastAsia"/>
          <w:bCs/>
        </w:rPr>
        <w:t>）在《基金合同》约定的范围内，拒绝或暂停受理申购、赎回与转换申请；</w:t>
      </w:r>
      <w:r>
        <w:rPr>
          <w:rFonts w:hint="eastAsia"/>
          <w:bCs/>
        </w:rPr>
        <w:t xml:space="preserve"> </w:t>
      </w:r>
    </w:p>
    <w:p w:rsidR="00822B64" w:rsidRDefault="00E92BF7">
      <w:pPr>
        <w:snapToGrid w:val="0"/>
        <w:spacing w:line="360" w:lineRule="auto"/>
        <w:ind w:firstLineChars="200" w:firstLine="420"/>
        <w:rPr>
          <w:bCs/>
        </w:rPr>
      </w:pPr>
      <w:r>
        <w:rPr>
          <w:rFonts w:hint="eastAsia"/>
          <w:bCs/>
        </w:rPr>
        <w:t>（</w:t>
      </w:r>
      <w:r>
        <w:rPr>
          <w:rFonts w:hint="eastAsia"/>
          <w:bCs/>
        </w:rPr>
        <w:t>12</w:t>
      </w:r>
      <w:r>
        <w:rPr>
          <w:rFonts w:hint="eastAsia"/>
          <w:bCs/>
        </w:rPr>
        <w:t>）依照法律法规为基金的利益行使因基金财产投资于证券所产生的权利；</w:t>
      </w:r>
      <w:r>
        <w:rPr>
          <w:rFonts w:hint="eastAsia"/>
          <w:bCs/>
        </w:rPr>
        <w:tab/>
      </w:r>
    </w:p>
    <w:p w:rsidR="00822B64" w:rsidRDefault="00E92BF7">
      <w:pPr>
        <w:snapToGrid w:val="0"/>
        <w:spacing w:line="360" w:lineRule="auto"/>
        <w:ind w:firstLineChars="200" w:firstLine="420"/>
        <w:rPr>
          <w:bCs/>
        </w:rPr>
      </w:pPr>
      <w:r>
        <w:rPr>
          <w:rFonts w:hint="eastAsia"/>
          <w:bCs/>
        </w:rPr>
        <w:t>（</w:t>
      </w:r>
      <w:r>
        <w:rPr>
          <w:rFonts w:hint="eastAsia"/>
          <w:bCs/>
        </w:rPr>
        <w:t>13</w:t>
      </w:r>
      <w:r>
        <w:rPr>
          <w:rFonts w:hint="eastAsia"/>
          <w:bCs/>
        </w:rPr>
        <w:t>）在法律法规允许的前提下，为基金的利益依法为基金进行融资；</w:t>
      </w:r>
      <w:r>
        <w:rPr>
          <w:rFonts w:hint="eastAsia"/>
          <w:bCs/>
        </w:rPr>
        <w:t xml:space="preserve"> </w:t>
      </w:r>
    </w:p>
    <w:p w:rsidR="00822B64" w:rsidRDefault="00E92BF7">
      <w:pPr>
        <w:snapToGrid w:val="0"/>
        <w:spacing w:line="360" w:lineRule="auto"/>
        <w:ind w:firstLineChars="200" w:firstLine="420"/>
        <w:rPr>
          <w:bCs/>
        </w:rPr>
      </w:pPr>
      <w:r>
        <w:rPr>
          <w:rFonts w:hint="eastAsia"/>
          <w:bCs/>
        </w:rPr>
        <w:t>（</w:t>
      </w:r>
      <w:r>
        <w:rPr>
          <w:rFonts w:hint="eastAsia"/>
          <w:bCs/>
        </w:rPr>
        <w:t>14</w:t>
      </w:r>
      <w:r>
        <w:rPr>
          <w:rFonts w:hint="eastAsia"/>
          <w:bCs/>
        </w:rPr>
        <w:t>）以基金管理人的名义，代表基金份额持有人的利益行使诉讼权利或者实施其他法律行为；</w:t>
      </w:r>
    </w:p>
    <w:p w:rsidR="00822B64" w:rsidRDefault="00E92BF7">
      <w:pPr>
        <w:snapToGrid w:val="0"/>
        <w:spacing w:line="360" w:lineRule="auto"/>
        <w:ind w:firstLineChars="200" w:firstLine="420"/>
        <w:rPr>
          <w:bCs/>
        </w:rPr>
      </w:pPr>
      <w:r>
        <w:rPr>
          <w:rFonts w:hint="eastAsia"/>
          <w:bCs/>
        </w:rPr>
        <w:t>（</w:t>
      </w:r>
      <w:r>
        <w:rPr>
          <w:rFonts w:hint="eastAsia"/>
          <w:bCs/>
        </w:rPr>
        <w:t>15</w:t>
      </w:r>
      <w:r>
        <w:rPr>
          <w:rFonts w:hint="eastAsia"/>
          <w:bCs/>
        </w:rPr>
        <w:t>）选择、更换律师事务所、会计师事务所、证券经纪商或其他为基金提供服务的外部机构；</w:t>
      </w:r>
    </w:p>
    <w:p w:rsidR="00822B64" w:rsidRDefault="00E92BF7">
      <w:pPr>
        <w:snapToGrid w:val="0"/>
        <w:spacing w:line="360" w:lineRule="auto"/>
        <w:ind w:firstLineChars="200" w:firstLine="420"/>
        <w:rPr>
          <w:bCs/>
        </w:rPr>
      </w:pPr>
      <w:r>
        <w:rPr>
          <w:rFonts w:hint="eastAsia"/>
          <w:bCs/>
        </w:rPr>
        <w:t>（</w:t>
      </w:r>
      <w:r>
        <w:rPr>
          <w:rFonts w:hint="eastAsia"/>
          <w:bCs/>
        </w:rPr>
        <w:t>16</w:t>
      </w:r>
      <w:r>
        <w:rPr>
          <w:rFonts w:hint="eastAsia"/>
          <w:bCs/>
        </w:rPr>
        <w:t>）在符合有关法律、法规的前提下，制订和调整有关基金认购、申购、赎回、转换、定期定额投资和非交易过户等业务规则；</w:t>
      </w:r>
    </w:p>
    <w:p w:rsidR="00822B64" w:rsidRDefault="00E92BF7">
      <w:pPr>
        <w:snapToGrid w:val="0"/>
        <w:spacing w:line="360" w:lineRule="auto"/>
        <w:ind w:firstLineChars="200" w:firstLine="420"/>
        <w:rPr>
          <w:bCs/>
        </w:rPr>
      </w:pPr>
      <w:r>
        <w:rPr>
          <w:rFonts w:hint="eastAsia"/>
          <w:bCs/>
        </w:rPr>
        <w:t>（</w:t>
      </w:r>
      <w:r>
        <w:rPr>
          <w:rFonts w:hint="eastAsia"/>
          <w:bCs/>
        </w:rPr>
        <w:t>17</w:t>
      </w:r>
      <w:r>
        <w:rPr>
          <w:rFonts w:hint="eastAsia"/>
          <w:bCs/>
        </w:rPr>
        <w:t>）法律法规及中国证监会规定的和《基金合同》约定的其他权利。</w:t>
      </w:r>
    </w:p>
    <w:p w:rsidR="00822B64" w:rsidRDefault="00E92BF7">
      <w:pPr>
        <w:snapToGrid w:val="0"/>
        <w:spacing w:line="360" w:lineRule="auto"/>
        <w:ind w:firstLineChars="200" w:firstLine="420"/>
        <w:rPr>
          <w:bCs/>
        </w:rPr>
      </w:pPr>
      <w:r>
        <w:rPr>
          <w:rFonts w:hint="eastAsia"/>
          <w:bCs/>
        </w:rPr>
        <w:t>2</w:t>
      </w:r>
      <w:r>
        <w:rPr>
          <w:rFonts w:hint="eastAsia"/>
          <w:bCs/>
        </w:rPr>
        <w:t>、根据《基金法》、《运作办法》及其他有关规定，基金管理人的义务包括但不限于：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）依法募集资金，办理或者委托经中国证监会认定的其他机构代为办理基金份额的发售、申购、赎回和登记事宜；</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）办理基金备案手续；</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）自《基金合同》生效之日起，以诚实信用、谨慎勤勉的原则管理和运用基金财产；</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）配备足够的具有专业资格的人员进行基金投资分析、决策，以专业化的经营方式</w:t>
      </w:r>
      <w:r>
        <w:rPr>
          <w:rFonts w:hint="eastAsia"/>
          <w:bCs/>
        </w:rPr>
        <w:lastRenderedPageBreak/>
        <w:t>管理和运作基金财产；</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）建立健全内部风险控制、监察与稽核、财务管理及人事管理等制度，保证所管理的基金财产和基金管理人的财产相互独立，对所管理的不同基金分别管理，分别记账，进行证券投资；</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）除依据《基金法》、《基金合同》及其他有关规定外，不得利用基金财产为自己及任何第三人谋取利益，不得委托第三人运作基金财产；</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）依法接受基金托管人的监督；</w:t>
      </w:r>
    </w:p>
    <w:p w:rsidR="00822B64" w:rsidRDefault="00E92BF7">
      <w:pPr>
        <w:snapToGrid w:val="0"/>
        <w:spacing w:line="360" w:lineRule="auto"/>
        <w:ind w:firstLineChars="200" w:firstLine="420"/>
        <w:rPr>
          <w:bCs/>
        </w:rPr>
      </w:pPr>
      <w:r>
        <w:rPr>
          <w:rFonts w:hint="eastAsia"/>
          <w:bCs/>
        </w:rPr>
        <w:t>（</w:t>
      </w:r>
      <w:r>
        <w:rPr>
          <w:rFonts w:hint="eastAsia"/>
          <w:bCs/>
        </w:rPr>
        <w:t>8</w:t>
      </w:r>
      <w:r>
        <w:rPr>
          <w:rFonts w:hint="eastAsia"/>
          <w:bCs/>
        </w:rPr>
        <w:t>）采取适当合理的措施使计算基金份额认购、申购、赎回和注销价格的方法符合《基金合同》等法律文件的规定，按有关规定计算并公告基金净值信息，确定基金份额申购、赎回的价格；</w:t>
      </w:r>
    </w:p>
    <w:p w:rsidR="00822B64" w:rsidRDefault="00E92BF7">
      <w:pPr>
        <w:snapToGrid w:val="0"/>
        <w:spacing w:line="360" w:lineRule="auto"/>
        <w:ind w:firstLineChars="200" w:firstLine="420"/>
        <w:rPr>
          <w:bCs/>
        </w:rPr>
      </w:pPr>
      <w:r>
        <w:rPr>
          <w:rFonts w:hint="eastAsia"/>
          <w:bCs/>
        </w:rPr>
        <w:t>（</w:t>
      </w:r>
      <w:r>
        <w:rPr>
          <w:rFonts w:hint="eastAsia"/>
          <w:bCs/>
        </w:rPr>
        <w:t>9</w:t>
      </w:r>
      <w:r>
        <w:rPr>
          <w:rFonts w:hint="eastAsia"/>
          <w:bCs/>
        </w:rPr>
        <w:t>）进行基金会计核算并编制基金财务会计报告；</w:t>
      </w:r>
    </w:p>
    <w:p w:rsidR="00822B64" w:rsidRDefault="00E92BF7">
      <w:pPr>
        <w:snapToGrid w:val="0"/>
        <w:spacing w:line="360" w:lineRule="auto"/>
        <w:ind w:firstLineChars="200" w:firstLine="420"/>
        <w:rPr>
          <w:bCs/>
        </w:rPr>
      </w:pPr>
      <w:r>
        <w:rPr>
          <w:rFonts w:hint="eastAsia"/>
          <w:bCs/>
        </w:rPr>
        <w:t>（</w:t>
      </w:r>
      <w:r>
        <w:rPr>
          <w:rFonts w:hint="eastAsia"/>
          <w:bCs/>
        </w:rPr>
        <w:t>10</w:t>
      </w:r>
      <w:r>
        <w:rPr>
          <w:rFonts w:hint="eastAsia"/>
          <w:bCs/>
        </w:rPr>
        <w:t>）编制季度报告、中期报告和年度报告；</w:t>
      </w:r>
    </w:p>
    <w:p w:rsidR="00822B64" w:rsidRDefault="00E92BF7">
      <w:pPr>
        <w:snapToGrid w:val="0"/>
        <w:spacing w:line="360" w:lineRule="auto"/>
        <w:ind w:firstLineChars="200" w:firstLine="420"/>
        <w:rPr>
          <w:bCs/>
        </w:rPr>
      </w:pPr>
      <w:r>
        <w:rPr>
          <w:rFonts w:hint="eastAsia"/>
          <w:bCs/>
        </w:rPr>
        <w:t>（</w:t>
      </w:r>
      <w:r>
        <w:rPr>
          <w:rFonts w:hint="eastAsia"/>
          <w:bCs/>
        </w:rPr>
        <w:t>11</w:t>
      </w:r>
      <w:r>
        <w:rPr>
          <w:rFonts w:hint="eastAsia"/>
          <w:bCs/>
        </w:rPr>
        <w:t>）严格按照《基金法》、《基金合同》及其他有关规定，履行信息披露及报告义务；</w:t>
      </w:r>
    </w:p>
    <w:p w:rsidR="00822B64" w:rsidRDefault="00E92BF7">
      <w:pPr>
        <w:snapToGrid w:val="0"/>
        <w:spacing w:line="360" w:lineRule="auto"/>
        <w:ind w:firstLineChars="200" w:firstLine="420"/>
        <w:rPr>
          <w:bCs/>
        </w:rPr>
      </w:pPr>
      <w:r>
        <w:rPr>
          <w:rFonts w:hint="eastAsia"/>
          <w:bCs/>
        </w:rPr>
        <w:t>（</w:t>
      </w:r>
      <w:r>
        <w:rPr>
          <w:rFonts w:hint="eastAsia"/>
          <w:bCs/>
        </w:rPr>
        <w:t>12</w:t>
      </w:r>
      <w:r>
        <w:rPr>
          <w:rFonts w:hint="eastAsia"/>
          <w:bCs/>
        </w:rPr>
        <w:t>）保守基金商业秘密，不泄露基金投资计划、投资意向等。除《基金法》、《基金合同》及其他有关规定另有规定外，在基金信息公开披露前应予保密，不向他人泄露</w:t>
      </w:r>
      <w:r>
        <w:rPr>
          <w:bCs/>
        </w:rPr>
        <w:t>，向审计、法律等外部专业顾问提供的除外</w:t>
      </w:r>
      <w:r>
        <w:rPr>
          <w:rFonts w:hint="eastAsia"/>
          <w:bCs/>
        </w:rPr>
        <w:t>；</w:t>
      </w:r>
    </w:p>
    <w:p w:rsidR="00822B64" w:rsidRDefault="00E92BF7">
      <w:pPr>
        <w:snapToGrid w:val="0"/>
        <w:spacing w:line="360" w:lineRule="auto"/>
        <w:ind w:firstLineChars="200" w:firstLine="420"/>
        <w:rPr>
          <w:bCs/>
        </w:rPr>
      </w:pPr>
      <w:r>
        <w:rPr>
          <w:rFonts w:hint="eastAsia"/>
          <w:bCs/>
        </w:rPr>
        <w:t>（</w:t>
      </w:r>
      <w:r>
        <w:rPr>
          <w:rFonts w:hint="eastAsia"/>
          <w:bCs/>
        </w:rPr>
        <w:t>13</w:t>
      </w:r>
      <w:r>
        <w:rPr>
          <w:rFonts w:hint="eastAsia"/>
          <w:bCs/>
        </w:rPr>
        <w:t>）按《基金合同》的约定确定基金收益分配方案，及时向基金份额持有人分配基金收益；</w:t>
      </w:r>
    </w:p>
    <w:p w:rsidR="00822B64" w:rsidRDefault="00E92BF7">
      <w:pPr>
        <w:snapToGrid w:val="0"/>
        <w:spacing w:line="360" w:lineRule="auto"/>
        <w:ind w:firstLineChars="200" w:firstLine="420"/>
        <w:rPr>
          <w:bCs/>
        </w:rPr>
      </w:pPr>
      <w:r>
        <w:rPr>
          <w:rFonts w:hint="eastAsia"/>
          <w:bCs/>
        </w:rPr>
        <w:t>（</w:t>
      </w:r>
      <w:r>
        <w:rPr>
          <w:rFonts w:hint="eastAsia"/>
          <w:bCs/>
        </w:rPr>
        <w:t>14</w:t>
      </w:r>
      <w:r>
        <w:rPr>
          <w:rFonts w:hint="eastAsia"/>
          <w:bCs/>
        </w:rPr>
        <w:t>）按规定受理申购与赎回申请，及时、足额支付赎回款项；</w:t>
      </w:r>
    </w:p>
    <w:p w:rsidR="00822B64" w:rsidRDefault="00E92BF7">
      <w:pPr>
        <w:snapToGrid w:val="0"/>
        <w:spacing w:line="360" w:lineRule="auto"/>
        <w:ind w:firstLineChars="200" w:firstLine="420"/>
        <w:rPr>
          <w:bCs/>
        </w:rPr>
      </w:pPr>
      <w:r>
        <w:rPr>
          <w:rFonts w:hint="eastAsia"/>
          <w:bCs/>
        </w:rPr>
        <w:t>（</w:t>
      </w:r>
      <w:r>
        <w:rPr>
          <w:rFonts w:hint="eastAsia"/>
          <w:bCs/>
        </w:rPr>
        <w:t>15</w:t>
      </w:r>
      <w:r>
        <w:rPr>
          <w:rFonts w:hint="eastAsia"/>
          <w:bCs/>
        </w:rPr>
        <w:t>）依据《基金法》、《基金合同》及其他有关规定召集基金份额持有人大会或配合基金托管人、基金份额持有人依法召集基金份额持有人大会；</w:t>
      </w:r>
    </w:p>
    <w:p w:rsidR="00822B64" w:rsidRDefault="00E92BF7">
      <w:pPr>
        <w:snapToGrid w:val="0"/>
        <w:spacing w:line="360" w:lineRule="auto"/>
        <w:ind w:firstLineChars="200" w:firstLine="420"/>
        <w:rPr>
          <w:bCs/>
        </w:rPr>
      </w:pPr>
      <w:r>
        <w:rPr>
          <w:rFonts w:hint="eastAsia"/>
          <w:bCs/>
        </w:rPr>
        <w:t>（</w:t>
      </w:r>
      <w:r>
        <w:rPr>
          <w:rFonts w:hint="eastAsia"/>
          <w:bCs/>
        </w:rPr>
        <w:t>16</w:t>
      </w:r>
      <w:r>
        <w:rPr>
          <w:rFonts w:hint="eastAsia"/>
          <w:bCs/>
        </w:rPr>
        <w:t>）按规定保存基金财产管理业务活动的会计账册、报表、记录和其他相关资料</w:t>
      </w:r>
      <w:r>
        <w:rPr>
          <w:rFonts w:hint="eastAsia"/>
          <w:bCs/>
        </w:rPr>
        <w:t>15</w:t>
      </w:r>
      <w:r>
        <w:rPr>
          <w:rFonts w:hint="eastAsia"/>
          <w:bCs/>
        </w:rPr>
        <w:t>年以上；</w:t>
      </w:r>
    </w:p>
    <w:p w:rsidR="00822B64" w:rsidRDefault="00E92BF7">
      <w:pPr>
        <w:snapToGrid w:val="0"/>
        <w:spacing w:line="360" w:lineRule="auto"/>
        <w:ind w:firstLineChars="200" w:firstLine="420"/>
        <w:rPr>
          <w:bCs/>
        </w:rPr>
      </w:pPr>
      <w:r>
        <w:rPr>
          <w:rFonts w:hint="eastAsia"/>
          <w:bCs/>
        </w:rPr>
        <w:t>（</w:t>
      </w:r>
      <w:r>
        <w:rPr>
          <w:rFonts w:hint="eastAsia"/>
          <w:bCs/>
        </w:rPr>
        <w:t>17</w:t>
      </w:r>
      <w:r>
        <w:rPr>
          <w:rFonts w:hint="eastAsia"/>
          <w:bCs/>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822B64" w:rsidRDefault="00E92BF7">
      <w:pPr>
        <w:snapToGrid w:val="0"/>
        <w:spacing w:line="360" w:lineRule="auto"/>
        <w:ind w:firstLineChars="200" w:firstLine="420"/>
        <w:rPr>
          <w:bCs/>
        </w:rPr>
      </w:pPr>
      <w:r>
        <w:rPr>
          <w:rFonts w:hint="eastAsia"/>
          <w:bCs/>
        </w:rPr>
        <w:t>（</w:t>
      </w:r>
      <w:r>
        <w:rPr>
          <w:rFonts w:hint="eastAsia"/>
          <w:bCs/>
        </w:rPr>
        <w:t>18</w:t>
      </w:r>
      <w:r>
        <w:rPr>
          <w:rFonts w:hint="eastAsia"/>
          <w:bCs/>
        </w:rPr>
        <w:t>）组织并参加基金财产清算小组，参与基金财产的保管、清理、估价、变现和分配；</w:t>
      </w:r>
    </w:p>
    <w:p w:rsidR="00822B64" w:rsidRDefault="00E92BF7">
      <w:pPr>
        <w:snapToGrid w:val="0"/>
        <w:spacing w:line="360" w:lineRule="auto"/>
        <w:ind w:firstLineChars="200" w:firstLine="420"/>
        <w:rPr>
          <w:bCs/>
        </w:rPr>
      </w:pPr>
      <w:r>
        <w:rPr>
          <w:rFonts w:hint="eastAsia"/>
          <w:bCs/>
        </w:rPr>
        <w:t>（</w:t>
      </w:r>
      <w:r>
        <w:rPr>
          <w:rFonts w:hint="eastAsia"/>
          <w:bCs/>
        </w:rPr>
        <w:t>19</w:t>
      </w:r>
      <w:r>
        <w:rPr>
          <w:rFonts w:hint="eastAsia"/>
          <w:bCs/>
        </w:rPr>
        <w:t>）面临解散、依法被撤销或者被依法宣告破产时，及时报告中国证监会并通知基金托管人；</w:t>
      </w:r>
    </w:p>
    <w:p w:rsidR="00822B64" w:rsidRDefault="00E92BF7">
      <w:pPr>
        <w:snapToGrid w:val="0"/>
        <w:spacing w:line="360" w:lineRule="auto"/>
        <w:ind w:firstLineChars="200" w:firstLine="420"/>
        <w:rPr>
          <w:bCs/>
        </w:rPr>
      </w:pPr>
      <w:r>
        <w:rPr>
          <w:rFonts w:hint="eastAsia"/>
          <w:bCs/>
        </w:rPr>
        <w:t>（</w:t>
      </w:r>
      <w:r>
        <w:rPr>
          <w:rFonts w:hint="eastAsia"/>
          <w:bCs/>
        </w:rPr>
        <w:t>20</w:t>
      </w:r>
      <w:r>
        <w:rPr>
          <w:rFonts w:hint="eastAsia"/>
          <w:bCs/>
        </w:rPr>
        <w:t>）因违反《基金合同》导致基金财产的损失或损害基金份额持有人合法权益时，应当承担赔偿责任，其赔偿责任不因其退任而免除；</w:t>
      </w:r>
    </w:p>
    <w:p w:rsidR="00822B64" w:rsidRDefault="00E92BF7">
      <w:pPr>
        <w:snapToGrid w:val="0"/>
        <w:spacing w:line="360" w:lineRule="auto"/>
        <w:ind w:firstLineChars="200" w:firstLine="420"/>
        <w:rPr>
          <w:bCs/>
        </w:rPr>
      </w:pPr>
      <w:r>
        <w:rPr>
          <w:rFonts w:hint="eastAsia"/>
          <w:bCs/>
        </w:rPr>
        <w:t>（</w:t>
      </w:r>
      <w:r>
        <w:rPr>
          <w:rFonts w:hint="eastAsia"/>
          <w:bCs/>
        </w:rPr>
        <w:t>21</w:t>
      </w:r>
      <w:r>
        <w:rPr>
          <w:rFonts w:hint="eastAsia"/>
          <w:bCs/>
        </w:rPr>
        <w:t>）监督基金托管人按法律法规和《基金合同》规定履行自己的义务，基金托管人违反《基金合同》造成基金财产损失时，基金管理人应为基金份额持有人利益向基金托管人追偿；</w:t>
      </w:r>
    </w:p>
    <w:p w:rsidR="00822B64" w:rsidRDefault="00E92BF7">
      <w:pPr>
        <w:snapToGrid w:val="0"/>
        <w:spacing w:line="360" w:lineRule="auto"/>
        <w:ind w:firstLineChars="200" w:firstLine="420"/>
        <w:rPr>
          <w:bCs/>
        </w:rPr>
      </w:pPr>
      <w:r>
        <w:rPr>
          <w:rFonts w:hint="eastAsia"/>
          <w:bCs/>
        </w:rPr>
        <w:lastRenderedPageBreak/>
        <w:t>（</w:t>
      </w:r>
      <w:r>
        <w:rPr>
          <w:rFonts w:hint="eastAsia"/>
          <w:bCs/>
        </w:rPr>
        <w:t>22</w:t>
      </w:r>
      <w:r>
        <w:rPr>
          <w:rFonts w:hint="eastAsia"/>
          <w:bCs/>
        </w:rPr>
        <w:t>）当基金管理人将其义务委托第三方处理时，应当对第三方处理有关基金事务的行为承担责任；</w:t>
      </w:r>
    </w:p>
    <w:p w:rsidR="00822B64" w:rsidRDefault="00E92BF7">
      <w:pPr>
        <w:snapToGrid w:val="0"/>
        <w:spacing w:line="360" w:lineRule="auto"/>
        <w:ind w:firstLineChars="200" w:firstLine="420"/>
        <w:rPr>
          <w:bCs/>
        </w:rPr>
      </w:pPr>
      <w:r>
        <w:rPr>
          <w:rFonts w:hint="eastAsia"/>
          <w:bCs/>
        </w:rPr>
        <w:t>（</w:t>
      </w:r>
      <w:r>
        <w:rPr>
          <w:rFonts w:hint="eastAsia"/>
          <w:bCs/>
        </w:rPr>
        <w:t>23</w:t>
      </w:r>
      <w:r>
        <w:rPr>
          <w:rFonts w:hint="eastAsia"/>
          <w:bCs/>
        </w:rPr>
        <w:t>）以基金管理人名义，代表基金份额持有人利益行使诉讼权利或实施其他法律行为；</w:t>
      </w:r>
    </w:p>
    <w:p w:rsidR="00822B64" w:rsidRDefault="00E92BF7">
      <w:pPr>
        <w:snapToGrid w:val="0"/>
        <w:spacing w:line="360" w:lineRule="auto"/>
        <w:ind w:firstLineChars="200" w:firstLine="420"/>
        <w:rPr>
          <w:bCs/>
        </w:rPr>
      </w:pPr>
      <w:r>
        <w:rPr>
          <w:rFonts w:hint="eastAsia"/>
          <w:bCs/>
        </w:rPr>
        <w:t>（</w:t>
      </w:r>
      <w:r>
        <w:rPr>
          <w:rFonts w:hint="eastAsia"/>
          <w:bCs/>
        </w:rPr>
        <w:t>24</w:t>
      </w:r>
      <w:r>
        <w:rPr>
          <w:rFonts w:hint="eastAsia"/>
          <w:bCs/>
        </w:rPr>
        <w:t>）基金管理人在募集期间未能达到基金的备案条件，《基金合同》不能生效，基金管理人承担全部募集费用，将已募集资金并加计银行同期活期存款利息在基金募集期结束后</w:t>
      </w:r>
      <w:r>
        <w:rPr>
          <w:rFonts w:hint="eastAsia"/>
          <w:bCs/>
        </w:rPr>
        <w:t>30</w:t>
      </w:r>
      <w:r>
        <w:rPr>
          <w:rFonts w:hint="eastAsia"/>
          <w:bCs/>
        </w:rPr>
        <w:t>日内退还基金认购人；</w:t>
      </w:r>
    </w:p>
    <w:p w:rsidR="00822B64" w:rsidRDefault="00E92BF7">
      <w:pPr>
        <w:snapToGrid w:val="0"/>
        <w:spacing w:line="360" w:lineRule="auto"/>
        <w:ind w:firstLineChars="200" w:firstLine="420"/>
        <w:rPr>
          <w:bCs/>
        </w:rPr>
      </w:pPr>
      <w:r>
        <w:rPr>
          <w:rFonts w:hint="eastAsia"/>
          <w:bCs/>
        </w:rPr>
        <w:t>（</w:t>
      </w:r>
      <w:r>
        <w:rPr>
          <w:rFonts w:hint="eastAsia"/>
          <w:bCs/>
        </w:rPr>
        <w:t>25</w:t>
      </w:r>
      <w:r>
        <w:rPr>
          <w:rFonts w:hint="eastAsia"/>
          <w:bCs/>
        </w:rPr>
        <w:t>）执行生效的基金份额持有人大会的决议；</w:t>
      </w:r>
    </w:p>
    <w:p w:rsidR="00822B64" w:rsidRDefault="00E92BF7">
      <w:pPr>
        <w:snapToGrid w:val="0"/>
        <w:spacing w:line="360" w:lineRule="auto"/>
        <w:ind w:firstLineChars="200" w:firstLine="420"/>
        <w:rPr>
          <w:bCs/>
        </w:rPr>
      </w:pPr>
      <w:r>
        <w:rPr>
          <w:rFonts w:hint="eastAsia"/>
          <w:bCs/>
        </w:rPr>
        <w:t>（</w:t>
      </w:r>
      <w:r>
        <w:rPr>
          <w:rFonts w:hint="eastAsia"/>
          <w:bCs/>
        </w:rPr>
        <w:t>26</w:t>
      </w:r>
      <w:r>
        <w:rPr>
          <w:rFonts w:hint="eastAsia"/>
          <w:bCs/>
        </w:rPr>
        <w:t>）建立并保存基金份额持有人名册；</w:t>
      </w:r>
    </w:p>
    <w:p w:rsidR="00822B64" w:rsidRDefault="00E92BF7">
      <w:pPr>
        <w:snapToGrid w:val="0"/>
        <w:spacing w:line="360" w:lineRule="auto"/>
        <w:ind w:firstLineChars="200" w:firstLine="420"/>
        <w:rPr>
          <w:bCs/>
        </w:rPr>
      </w:pPr>
      <w:r>
        <w:rPr>
          <w:rFonts w:hint="eastAsia"/>
          <w:bCs/>
        </w:rPr>
        <w:t>（</w:t>
      </w:r>
      <w:r>
        <w:rPr>
          <w:rFonts w:hint="eastAsia"/>
          <w:bCs/>
        </w:rPr>
        <w:t>27</w:t>
      </w:r>
      <w:r>
        <w:rPr>
          <w:rFonts w:hint="eastAsia"/>
          <w:bCs/>
        </w:rPr>
        <w:t>）法律法规及中国证监会规定的和《基金合同》约定的其他义务。</w:t>
      </w:r>
    </w:p>
    <w:p w:rsidR="00822B64" w:rsidRDefault="00E92BF7">
      <w:pPr>
        <w:snapToGrid w:val="0"/>
        <w:spacing w:line="360" w:lineRule="auto"/>
        <w:ind w:firstLineChars="200" w:firstLine="420"/>
        <w:rPr>
          <w:bCs/>
        </w:rPr>
      </w:pPr>
      <w:r>
        <w:rPr>
          <w:rFonts w:hint="eastAsia"/>
          <w:bCs/>
        </w:rPr>
        <w:t>（三）基金托管人的权利与义务</w:t>
      </w:r>
    </w:p>
    <w:p w:rsidR="00822B64" w:rsidRDefault="00E92BF7">
      <w:pPr>
        <w:snapToGrid w:val="0"/>
        <w:spacing w:line="360" w:lineRule="auto"/>
        <w:ind w:firstLineChars="200" w:firstLine="420"/>
        <w:rPr>
          <w:bCs/>
        </w:rPr>
      </w:pPr>
      <w:r>
        <w:rPr>
          <w:rFonts w:hint="eastAsia"/>
          <w:bCs/>
        </w:rPr>
        <w:t>1</w:t>
      </w:r>
      <w:r>
        <w:rPr>
          <w:rFonts w:hint="eastAsia"/>
          <w:bCs/>
        </w:rPr>
        <w:t>、根据《基金法》、《运作办法》及其他有关规定，基金托管人的权利包括但不限于：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）自《基金合同》生效之日起，依法律法规和《基金合同》的规定安全保管基金财产；</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）依《基金合同》约定获得基金托管费以及法律法规规定或监管部门批准的其他费用；</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）根据相关市场规则，为基金开设资金账户、证券账户等投资所需账户，为基金办理证券交易资金清算；</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）提议召开或召集基金份额持有人大会；</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）在基金管理人更换时，提名新的基金管理人；</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）法律法规及中国证监会规定的和《基金合同》约定的其他权利。</w:t>
      </w:r>
    </w:p>
    <w:p w:rsidR="00822B64" w:rsidRDefault="00E92BF7">
      <w:pPr>
        <w:snapToGrid w:val="0"/>
        <w:spacing w:line="360" w:lineRule="auto"/>
        <w:ind w:firstLineChars="200" w:firstLine="420"/>
        <w:rPr>
          <w:bCs/>
        </w:rPr>
      </w:pPr>
      <w:r>
        <w:rPr>
          <w:rFonts w:hint="eastAsia"/>
          <w:bCs/>
        </w:rPr>
        <w:t>2</w:t>
      </w:r>
      <w:r>
        <w:rPr>
          <w:rFonts w:hint="eastAsia"/>
          <w:bCs/>
        </w:rPr>
        <w:t>、根据《基金法》、《运作办法》及其他有关规定，基金托管人的义务包括但不限于：</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）以诚实信用、勤勉尽责的原则持有并安全保管基金财产；</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）设立专门的基金托管部门，具有符合要求的营业场所，配备足够的、合格的熟悉基金托管业务的专职人员，负责基金财产托管事宜；</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）除依据《基金法》、《基金合同》及其他有关规定外，不得利用基金财产为自己及任何第三人谋取利益，不得委托第三人托管基金财产；</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）保管由基金管理人代表基金签订的与基金有关的重大合同及有关凭证；</w:t>
      </w:r>
    </w:p>
    <w:p w:rsidR="00822B64" w:rsidRDefault="00E92BF7">
      <w:pPr>
        <w:snapToGrid w:val="0"/>
        <w:spacing w:line="360" w:lineRule="auto"/>
        <w:ind w:firstLineChars="200" w:firstLine="420"/>
        <w:rPr>
          <w:bCs/>
        </w:rPr>
      </w:pPr>
      <w:r>
        <w:rPr>
          <w:rFonts w:hint="eastAsia"/>
          <w:bCs/>
        </w:rPr>
        <w:lastRenderedPageBreak/>
        <w:t>（</w:t>
      </w:r>
      <w:r>
        <w:rPr>
          <w:rFonts w:hint="eastAsia"/>
          <w:bCs/>
        </w:rPr>
        <w:t>6</w:t>
      </w:r>
      <w:r>
        <w:rPr>
          <w:rFonts w:hint="eastAsia"/>
          <w:bCs/>
        </w:rPr>
        <w:t>）按规定开设基金财产的资金账户和证券账户等投资所需账户，按照《基金合同》的约定，根据基金管理人的投资指令，及时办理清算、交割事宜；</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）保守基金商业秘密，除《基金法》、《基金合同》及其他有关规定另有规定外，在基金信息公开披露前予以保密，不得向他人泄露，向审计、法律等外部专业顾问提供的除外；</w:t>
      </w:r>
    </w:p>
    <w:p w:rsidR="00822B64" w:rsidRDefault="00E92BF7">
      <w:pPr>
        <w:snapToGrid w:val="0"/>
        <w:spacing w:line="360" w:lineRule="auto"/>
        <w:ind w:firstLineChars="200" w:firstLine="420"/>
        <w:rPr>
          <w:bCs/>
        </w:rPr>
      </w:pPr>
      <w:r>
        <w:rPr>
          <w:rFonts w:hint="eastAsia"/>
          <w:bCs/>
        </w:rPr>
        <w:t>（</w:t>
      </w:r>
      <w:r>
        <w:rPr>
          <w:rFonts w:hint="eastAsia"/>
          <w:bCs/>
        </w:rPr>
        <w:t>8</w:t>
      </w:r>
      <w:r>
        <w:rPr>
          <w:rFonts w:hint="eastAsia"/>
          <w:bCs/>
        </w:rPr>
        <w:t>）复核、审查基金管理人计算的基金资产净值、基金份额净值、基金份额申购、赎回价格；</w:t>
      </w:r>
    </w:p>
    <w:p w:rsidR="00822B64" w:rsidRDefault="00E92BF7">
      <w:pPr>
        <w:snapToGrid w:val="0"/>
        <w:spacing w:line="360" w:lineRule="auto"/>
        <w:ind w:firstLineChars="200" w:firstLine="420"/>
        <w:rPr>
          <w:bCs/>
        </w:rPr>
      </w:pPr>
      <w:r>
        <w:rPr>
          <w:rFonts w:hint="eastAsia"/>
          <w:bCs/>
        </w:rPr>
        <w:t>（</w:t>
      </w:r>
      <w:r>
        <w:rPr>
          <w:rFonts w:hint="eastAsia"/>
          <w:bCs/>
        </w:rPr>
        <w:t>9</w:t>
      </w:r>
      <w:r>
        <w:rPr>
          <w:rFonts w:hint="eastAsia"/>
          <w:bCs/>
        </w:rPr>
        <w:t>）办理与基金托管业务活动有关的信息披露事项；</w:t>
      </w:r>
    </w:p>
    <w:p w:rsidR="00822B64" w:rsidRDefault="00E92BF7">
      <w:pPr>
        <w:snapToGrid w:val="0"/>
        <w:spacing w:line="360" w:lineRule="auto"/>
        <w:ind w:firstLineChars="200" w:firstLine="420"/>
        <w:rPr>
          <w:bCs/>
        </w:rPr>
      </w:pPr>
      <w:r>
        <w:rPr>
          <w:rFonts w:hint="eastAsia"/>
          <w:bCs/>
        </w:rPr>
        <w:t>（</w:t>
      </w:r>
      <w:r>
        <w:rPr>
          <w:rFonts w:hint="eastAsia"/>
          <w:bCs/>
        </w:rPr>
        <w:t>10</w:t>
      </w:r>
      <w:r>
        <w:rPr>
          <w:rFonts w:hint="eastAsia"/>
          <w:bCs/>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822B64" w:rsidRDefault="00E92BF7">
      <w:pPr>
        <w:snapToGrid w:val="0"/>
        <w:spacing w:line="360" w:lineRule="auto"/>
        <w:ind w:firstLineChars="200" w:firstLine="420"/>
        <w:rPr>
          <w:bCs/>
        </w:rPr>
      </w:pPr>
      <w:r>
        <w:rPr>
          <w:rFonts w:hint="eastAsia"/>
          <w:bCs/>
        </w:rPr>
        <w:t>（</w:t>
      </w:r>
      <w:r>
        <w:rPr>
          <w:rFonts w:hint="eastAsia"/>
          <w:bCs/>
        </w:rPr>
        <w:t>11</w:t>
      </w:r>
      <w:r>
        <w:rPr>
          <w:rFonts w:hint="eastAsia"/>
          <w:bCs/>
        </w:rPr>
        <w:t>）保存基金托管业务活动的记录、账册、报表和其他相关资料不低于法律法规规定的最低期限；</w:t>
      </w:r>
    </w:p>
    <w:p w:rsidR="00822B64" w:rsidRDefault="00E92BF7">
      <w:pPr>
        <w:snapToGrid w:val="0"/>
        <w:spacing w:line="360" w:lineRule="auto"/>
        <w:ind w:firstLineChars="200" w:firstLine="420"/>
        <w:rPr>
          <w:bCs/>
        </w:rPr>
      </w:pPr>
      <w:r>
        <w:rPr>
          <w:rFonts w:hint="eastAsia"/>
          <w:bCs/>
        </w:rPr>
        <w:t>（</w:t>
      </w:r>
      <w:r>
        <w:rPr>
          <w:rFonts w:hint="eastAsia"/>
          <w:bCs/>
        </w:rPr>
        <w:t>12</w:t>
      </w:r>
      <w:r>
        <w:rPr>
          <w:rFonts w:hint="eastAsia"/>
          <w:bCs/>
        </w:rPr>
        <w:t>）从基金管理人或其委托的登记机构处接收并保存基金份额持有人名册；</w:t>
      </w:r>
    </w:p>
    <w:p w:rsidR="00822B64" w:rsidRDefault="00E92BF7">
      <w:pPr>
        <w:snapToGrid w:val="0"/>
        <w:spacing w:line="360" w:lineRule="auto"/>
        <w:ind w:firstLineChars="200" w:firstLine="420"/>
        <w:rPr>
          <w:bCs/>
        </w:rPr>
      </w:pPr>
      <w:r>
        <w:rPr>
          <w:rFonts w:hint="eastAsia"/>
          <w:bCs/>
        </w:rPr>
        <w:t>（</w:t>
      </w:r>
      <w:r>
        <w:rPr>
          <w:rFonts w:hint="eastAsia"/>
          <w:bCs/>
        </w:rPr>
        <w:t>13</w:t>
      </w:r>
      <w:r>
        <w:rPr>
          <w:rFonts w:hint="eastAsia"/>
          <w:bCs/>
        </w:rPr>
        <w:t>）按规定制作相关账册并与基金管理人核对；</w:t>
      </w:r>
    </w:p>
    <w:p w:rsidR="00822B64" w:rsidRDefault="00E92BF7">
      <w:pPr>
        <w:snapToGrid w:val="0"/>
        <w:spacing w:line="360" w:lineRule="auto"/>
        <w:ind w:firstLineChars="200" w:firstLine="420"/>
        <w:rPr>
          <w:bCs/>
        </w:rPr>
      </w:pPr>
      <w:r>
        <w:rPr>
          <w:rFonts w:hint="eastAsia"/>
          <w:bCs/>
        </w:rPr>
        <w:t>（</w:t>
      </w:r>
      <w:r>
        <w:rPr>
          <w:rFonts w:hint="eastAsia"/>
          <w:bCs/>
        </w:rPr>
        <w:t>14</w:t>
      </w:r>
      <w:r>
        <w:rPr>
          <w:rFonts w:hint="eastAsia"/>
          <w:bCs/>
        </w:rPr>
        <w:t>）依据基金管理人的指令或有关规定向基金份额持有人支付基金收益和赎回款项；</w:t>
      </w:r>
    </w:p>
    <w:p w:rsidR="00822B64" w:rsidRDefault="00E92BF7">
      <w:pPr>
        <w:snapToGrid w:val="0"/>
        <w:spacing w:line="360" w:lineRule="auto"/>
        <w:ind w:firstLineChars="200" w:firstLine="420"/>
        <w:rPr>
          <w:bCs/>
        </w:rPr>
      </w:pPr>
      <w:r>
        <w:rPr>
          <w:rFonts w:hint="eastAsia"/>
          <w:bCs/>
        </w:rPr>
        <w:t>（</w:t>
      </w:r>
      <w:r>
        <w:rPr>
          <w:rFonts w:hint="eastAsia"/>
          <w:bCs/>
        </w:rPr>
        <w:t>15</w:t>
      </w:r>
      <w:r>
        <w:rPr>
          <w:rFonts w:hint="eastAsia"/>
          <w:bCs/>
        </w:rPr>
        <w:t>）依据《基金法》、《基金合同》及其他有关规定，召集基金份额持有人大会或配合基金管理人、基金份额持有人依法召集基金份额持有人大会；</w:t>
      </w:r>
    </w:p>
    <w:p w:rsidR="00822B64" w:rsidRDefault="00E92BF7">
      <w:pPr>
        <w:snapToGrid w:val="0"/>
        <w:spacing w:line="360" w:lineRule="auto"/>
        <w:ind w:firstLineChars="200" w:firstLine="420"/>
        <w:rPr>
          <w:bCs/>
        </w:rPr>
      </w:pPr>
      <w:r>
        <w:rPr>
          <w:rFonts w:hint="eastAsia"/>
          <w:bCs/>
        </w:rPr>
        <w:t>（</w:t>
      </w:r>
      <w:r>
        <w:rPr>
          <w:rFonts w:hint="eastAsia"/>
          <w:bCs/>
        </w:rPr>
        <w:t>16</w:t>
      </w:r>
      <w:r>
        <w:rPr>
          <w:rFonts w:hint="eastAsia"/>
          <w:bCs/>
        </w:rPr>
        <w:t>）按照法律法规和《基金合同》的规定监督基金管理人的投资运作；</w:t>
      </w:r>
    </w:p>
    <w:p w:rsidR="00822B64" w:rsidRDefault="00E92BF7">
      <w:pPr>
        <w:snapToGrid w:val="0"/>
        <w:spacing w:line="360" w:lineRule="auto"/>
        <w:ind w:firstLineChars="200" w:firstLine="420"/>
        <w:rPr>
          <w:bCs/>
        </w:rPr>
      </w:pPr>
      <w:r>
        <w:rPr>
          <w:rFonts w:hint="eastAsia"/>
          <w:bCs/>
        </w:rPr>
        <w:t>（</w:t>
      </w:r>
      <w:r>
        <w:rPr>
          <w:rFonts w:hint="eastAsia"/>
          <w:bCs/>
        </w:rPr>
        <w:t>17</w:t>
      </w:r>
      <w:r>
        <w:rPr>
          <w:rFonts w:hint="eastAsia"/>
          <w:bCs/>
        </w:rPr>
        <w:t>）参加基金财产清算小组，参与基金财产的保管、清理、估价、变现和分配；</w:t>
      </w:r>
    </w:p>
    <w:p w:rsidR="00822B64" w:rsidRDefault="00E92BF7">
      <w:pPr>
        <w:snapToGrid w:val="0"/>
        <w:spacing w:line="360" w:lineRule="auto"/>
        <w:ind w:firstLineChars="200" w:firstLine="420"/>
        <w:rPr>
          <w:bCs/>
        </w:rPr>
      </w:pPr>
      <w:r>
        <w:rPr>
          <w:rFonts w:hint="eastAsia"/>
          <w:bCs/>
        </w:rPr>
        <w:t>（</w:t>
      </w:r>
      <w:r>
        <w:rPr>
          <w:rFonts w:hint="eastAsia"/>
          <w:bCs/>
        </w:rPr>
        <w:t>18</w:t>
      </w:r>
      <w:r>
        <w:rPr>
          <w:rFonts w:hint="eastAsia"/>
          <w:bCs/>
        </w:rPr>
        <w:t>）面临解散、依法被撤销或者被依法宣告破产时，及时报告中国证监会和银行业监督管理机构，并通知基金管理人；</w:t>
      </w:r>
    </w:p>
    <w:p w:rsidR="00822B64" w:rsidRDefault="00E92BF7">
      <w:pPr>
        <w:snapToGrid w:val="0"/>
        <w:spacing w:line="360" w:lineRule="auto"/>
        <w:ind w:firstLineChars="200" w:firstLine="420"/>
        <w:rPr>
          <w:bCs/>
        </w:rPr>
      </w:pPr>
      <w:r>
        <w:rPr>
          <w:rFonts w:hint="eastAsia"/>
          <w:bCs/>
        </w:rPr>
        <w:t>（</w:t>
      </w:r>
      <w:r>
        <w:rPr>
          <w:rFonts w:hint="eastAsia"/>
          <w:bCs/>
        </w:rPr>
        <w:t>19</w:t>
      </w:r>
      <w:r>
        <w:rPr>
          <w:rFonts w:hint="eastAsia"/>
          <w:bCs/>
        </w:rPr>
        <w:t>）因违反《基金合同》导致基金财产损失时，应承担赔偿责任，其赔偿责任不因其退任而免除；</w:t>
      </w:r>
    </w:p>
    <w:p w:rsidR="00822B64" w:rsidRDefault="00E92BF7">
      <w:pPr>
        <w:snapToGrid w:val="0"/>
        <w:spacing w:line="360" w:lineRule="auto"/>
        <w:ind w:firstLineChars="200" w:firstLine="420"/>
        <w:rPr>
          <w:bCs/>
        </w:rPr>
      </w:pPr>
      <w:r>
        <w:rPr>
          <w:rFonts w:hint="eastAsia"/>
          <w:bCs/>
        </w:rPr>
        <w:t>（</w:t>
      </w:r>
      <w:r>
        <w:rPr>
          <w:rFonts w:hint="eastAsia"/>
          <w:bCs/>
        </w:rPr>
        <w:t>20</w:t>
      </w:r>
      <w:r>
        <w:rPr>
          <w:rFonts w:hint="eastAsia"/>
          <w:bCs/>
        </w:rPr>
        <w:t>）按规定监督基金管理人按法律法规和《基金合同》规定履行自己的义务，基金管理人因违反《基金合同》造成基金财产损失时，应为基金份额持有人利益向基金管理人追偿；</w:t>
      </w:r>
    </w:p>
    <w:p w:rsidR="00822B64" w:rsidRDefault="00E92BF7">
      <w:pPr>
        <w:snapToGrid w:val="0"/>
        <w:spacing w:line="360" w:lineRule="auto"/>
        <w:ind w:firstLineChars="200" w:firstLine="420"/>
        <w:rPr>
          <w:bCs/>
        </w:rPr>
      </w:pPr>
      <w:r>
        <w:rPr>
          <w:rFonts w:hint="eastAsia"/>
          <w:bCs/>
        </w:rPr>
        <w:t>（</w:t>
      </w:r>
      <w:r>
        <w:rPr>
          <w:rFonts w:hint="eastAsia"/>
          <w:bCs/>
        </w:rPr>
        <w:t>21</w:t>
      </w:r>
      <w:r>
        <w:rPr>
          <w:rFonts w:hint="eastAsia"/>
          <w:bCs/>
        </w:rPr>
        <w:t>）执行生效的基金份额持有人大会的决议；</w:t>
      </w:r>
    </w:p>
    <w:p w:rsidR="00822B64" w:rsidRDefault="00E92BF7">
      <w:pPr>
        <w:snapToGrid w:val="0"/>
        <w:spacing w:line="360" w:lineRule="auto"/>
        <w:ind w:firstLineChars="200" w:firstLine="420"/>
        <w:rPr>
          <w:bCs/>
        </w:rPr>
      </w:pPr>
      <w:r>
        <w:rPr>
          <w:rFonts w:hint="eastAsia"/>
          <w:bCs/>
        </w:rPr>
        <w:t>（</w:t>
      </w:r>
      <w:r>
        <w:rPr>
          <w:rFonts w:hint="eastAsia"/>
          <w:bCs/>
        </w:rPr>
        <w:t>22</w:t>
      </w:r>
      <w:r>
        <w:rPr>
          <w:rFonts w:hint="eastAsia"/>
          <w:bCs/>
        </w:rPr>
        <w:t>）法律法规及中国证监会规定的和《基金合同》约定的其他义务。</w:t>
      </w:r>
    </w:p>
    <w:p w:rsidR="00822B64" w:rsidRDefault="00822B64">
      <w:pPr>
        <w:snapToGrid w:val="0"/>
        <w:spacing w:line="360" w:lineRule="auto"/>
        <w:ind w:firstLineChars="200" w:firstLine="420"/>
        <w:rPr>
          <w:bCs/>
        </w:rPr>
      </w:pPr>
    </w:p>
    <w:p w:rsidR="00822B64" w:rsidRDefault="00E92BF7">
      <w:pPr>
        <w:snapToGrid w:val="0"/>
        <w:spacing w:line="360" w:lineRule="auto"/>
        <w:ind w:firstLineChars="200" w:firstLine="420"/>
        <w:rPr>
          <w:bCs/>
        </w:rPr>
      </w:pPr>
      <w:r>
        <w:rPr>
          <w:rFonts w:hint="eastAsia"/>
          <w:bCs/>
        </w:rPr>
        <w:t>二、基金份额持有人大会召集、议事及表决的程序和规则</w:t>
      </w:r>
    </w:p>
    <w:p w:rsidR="00822B64" w:rsidRDefault="00E92BF7">
      <w:pPr>
        <w:snapToGrid w:val="0"/>
        <w:spacing w:line="360" w:lineRule="auto"/>
        <w:ind w:firstLineChars="200" w:firstLine="420"/>
        <w:rPr>
          <w:bCs/>
        </w:rPr>
      </w:pPr>
      <w:r>
        <w:rPr>
          <w:bCs/>
        </w:rPr>
        <w:t>基金份额持有人大会由基金份额持有人组成，基金份额持有人的合法授权代表有权代表基金份额持有人出席会议并表决。基金份额持有人持有的每一基金份额拥有平等的投票权。</w:t>
      </w:r>
      <w:r>
        <w:rPr>
          <w:rFonts w:hint="eastAsia"/>
          <w:bCs/>
        </w:rPr>
        <w:t>若将来法律法规对基金份额持有人大会另有规定的，以届时有效的法律法规为准。</w:t>
      </w:r>
    </w:p>
    <w:p w:rsidR="00822B64" w:rsidRDefault="00E92BF7">
      <w:pPr>
        <w:snapToGrid w:val="0"/>
        <w:spacing w:line="360" w:lineRule="auto"/>
        <w:ind w:firstLineChars="200" w:firstLine="420"/>
        <w:rPr>
          <w:bCs/>
        </w:rPr>
      </w:pPr>
      <w:r>
        <w:rPr>
          <w:rFonts w:hint="eastAsia"/>
          <w:bCs/>
        </w:rPr>
        <w:t>本基金份额持有人大会不设日常机构。</w:t>
      </w:r>
    </w:p>
    <w:p w:rsidR="00822B64" w:rsidRDefault="00E92BF7">
      <w:pPr>
        <w:snapToGrid w:val="0"/>
        <w:spacing w:line="360" w:lineRule="auto"/>
        <w:ind w:firstLineChars="200" w:firstLine="420"/>
        <w:rPr>
          <w:bCs/>
        </w:rPr>
      </w:pPr>
      <w:r>
        <w:rPr>
          <w:rFonts w:hint="eastAsia"/>
          <w:bCs/>
        </w:rPr>
        <w:lastRenderedPageBreak/>
        <w:t>（一）召开事由</w:t>
      </w:r>
    </w:p>
    <w:p w:rsidR="00822B64" w:rsidRDefault="00E92BF7">
      <w:pPr>
        <w:snapToGrid w:val="0"/>
        <w:spacing w:line="360" w:lineRule="auto"/>
        <w:ind w:firstLineChars="200" w:firstLine="420"/>
        <w:rPr>
          <w:bCs/>
        </w:rPr>
      </w:pPr>
      <w:r>
        <w:rPr>
          <w:bCs/>
        </w:rPr>
        <w:t>1</w:t>
      </w:r>
      <w:r>
        <w:rPr>
          <w:bCs/>
        </w:rPr>
        <w:t>、</w:t>
      </w:r>
      <w:r>
        <w:rPr>
          <w:rFonts w:hint="eastAsia"/>
          <w:bCs/>
        </w:rPr>
        <w:t>除法律法规和中国证监会另有规定或《基金合同》另有约定外，</w:t>
      </w:r>
      <w:r>
        <w:rPr>
          <w:bCs/>
        </w:rPr>
        <w:t>当出现或需要决定下列事由之一的，应当召开基金份额持有人大会：</w:t>
      </w:r>
    </w:p>
    <w:p w:rsidR="00822B64" w:rsidRDefault="00E92BF7">
      <w:pPr>
        <w:snapToGrid w:val="0"/>
        <w:spacing w:line="360" w:lineRule="auto"/>
        <w:ind w:firstLineChars="200" w:firstLine="420"/>
        <w:rPr>
          <w:bCs/>
        </w:rPr>
      </w:pPr>
      <w:r>
        <w:rPr>
          <w:bCs/>
        </w:rPr>
        <w:t>（</w:t>
      </w:r>
      <w:r>
        <w:rPr>
          <w:bCs/>
        </w:rPr>
        <w:t>1</w:t>
      </w:r>
      <w:r>
        <w:rPr>
          <w:bCs/>
        </w:rPr>
        <w:t>）终止《基金合同》；</w:t>
      </w:r>
    </w:p>
    <w:p w:rsidR="00822B64" w:rsidRDefault="00E92BF7">
      <w:pPr>
        <w:snapToGrid w:val="0"/>
        <w:spacing w:line="360" w:lineRule="auto"/>
        <w:ind w:firstLineChars="200" w:firstLine="420"/>
        <w:rPr>
          <w:bCs/>
        </w:rPr>
      </w:pPr>
      <w:r>
        <w:rPr>
          <w:bCs/>
        </w:rPr>
        <w:t>（</w:t>
      </w:r>
      <w:r>
        <w:rPr>
          <w:bCs/>
        </w:rPr>
        <w:t>2</w:t>
      </w:r>
      <w:r>
        <w:rPr>
          <w:bCs/>
        </w:rPr>
        <w:t>）更换基金管理人；</w:t>
      </w:r>
    </w:p>
    <w:p w:rsidR="00822B64" w:rsidRDefault="00E92BF7">
      <w:pPr>
        <w:snapToGrid w:val="0"/>
        <w:spacing w:line="360" w:lineRule="auto"/>
        <w:ind w:firstLineChars="200" w:firstLine="420"/>
        <w:rPr>
          <w:bCs/>
        </w:rPr>
      </w:pPr>
      <w:r>
        <w:rPr>
          <w:bCs/>
        </w:rPr>
        <w:t>（</w:t>
      </w:r>
      <w:r>
        <w:rPr>
          <w:bCs/>
        </w:rPr>
        <w:t>3</w:t>
      </w:r>
      <w:r>
        <w:rPr>
          <w:bCs/>
        </w:rPr>
        <w:t>）更换基金托管人；</w:t>
      </w:r>
    </w:p>
    <w:p w:rsidR="00822B64" w:rsidRDefault="00E92BF7">
      <w:pPr>
        <w:snapToGrid w:val="0"/>
        <w:spacing w:line="360" w:lineRule="auto"/>
        <w:ind w:firstLineChars="200" w:firstLine="420"/>
        <w:rPr>
          <w:bCs/>
        </w:rPr>
      </w:pPr>
      <w:r>
        <w:rPr>
          <w:bCs/>
        </w:rPr>
        <w:t>（</w:t>
      </w:r>
      <w:r>
        <w:rPr>
          <w:bCs/>
        </w:rPr>
        <w:t>4</w:t>
      </w:r>
      <w:r>
        <w:rPr>
          <w:bCs/>
        </w:rPr>
        <w:t>）转换基金运作方式</w:t>
      </w:r>
      <w:r>
        <w:rPr>
          <w:rFonts w:hint="eastAsia"/>
          <w:bCs/>
        </w:rPr>
        <w:t>（</w:t>
      </w:r>
      <w:r>
        <w:rPr>
          <w:bCs/>
        </w:rPr>
        <w:t>不包括本基金开放期与封闭期运作方式的转换</w:t>
      </w:r>
      <w:r>
        <w:rPr>
          <w:rFonts w:hint="eastAsia"/>
          <w:bCs/>
        </w:rPr>
        <w:t>及暂停运作）</w:t>
      </w:r>
      <w:r>
        <w:rPr>
          <w:bCs/>
        </w:rPr>
        <w:t>；</w:t>
      </w:r>
    </w:p>
    <w:p w:rsidR="00822B64" w:rsidRDefault="00E92BF7">
      <w:pPr>
        <w:snapToGrid w:val="0"/>
        <w:spacing w:line="360" w:lineRule="auto"/>
        <w:ind w:firstLineChars="200" w:firstLine="420"/>
        <w:rPr>
          <w:bCs/>
        </w:rPr>
      </w:pPr>
      <w:r>
        <w:rPr>
          <w:bCs/>
        </w:rPr>
        <w:t>（</w:t>
      </w:r>
      <w:r>
        <w:rPr>
          <w:bCs/>
        </w:rPr>
        <w:t>5</w:t>
      </w:r>
      <w:r>
        <w:rPr>
          <w:bCs/>
        </w:rPr>
        <w:t>）</w:t>
      </w:r>
      <w:r>
        <w:rPr>
          <w:rFonts w:hint="eastAsia"/>
          <w:bCs/>
        </w:rPr>
        <w:t>调整</w:t>
      </w:r>
      <w:r>
        <w:rPr>
          <w:bCs/>
        </w:rPr>
        <w:t>基金管理人、基金托管人的报酬标准；</w:t>
      </w:r>
    </w:p>
    <w:p w:rsidR="00822B64" w:rsidRDefault="00E92BF7">
      <w:pPr>
        <w:snapToGrid w:val="0"/>
        <w:spacing w:line="360" w:lineRule="auto"/>
        <w:ind w:firstLineChars="200" w:firstLine="420"/>
        <w:rPr>
          <w:bCs/>
        </w:rPr>
      </w:pPr>
      <w:r>
        <w:rPr>
          <w:bCs/>
        </w:rPr>
        <w:t>（</w:t>
      </w:r>
      <w:r>
        <w:rPr>
          <w:bCs/>
        </w:rPr>
        <w:t>6</w:t>
      </w:r>
      <w:r>
        <w:rPr>
          <w:bCs/>
        </w:rPr>
        <w:t>）变更基金类别；</w:t>
      </w:r>
    </w:p>
    <w:p w:rsidR="00822B64" w:rsidRDefault="00E92BF7">
      <w:pPr>
        <w:snapToGrid w:val="0"/>
        <w:spacing w:line="360" w:lineRule="auto"/>
        <w:ind w:firstLineChars="200" w:firstLine="420"/>
        <w:rPr>
          <w:bCs/>
        </w:rPr>
      </w:pPr>
      <w:r>
        <w:rPr>
          <w:bCs/>
        </w:rPr>
        <w:t>（</w:t>
      </w:r>
      <w:r>
        <w:rPr>
          <w:bCs/>
        </w:rPr>
        <w:t>7</w:t>
      </w:r>
      <w:r>
        <w:rPr>
          <w:bCs/>
        </w:rPr>
        <w:t>）本基金与其他基金的合并；</w:t>
      </w:r>
    </w:p>
    <w:p w:rsidR="00822B64" w:rsidRDefault="00E92BF7">
      <w:pPr>
        <w:snapToGrid w:val="0"/>
        <w:spacing w:line="360" w:lineRule="auto"/>
        <w:ind w:firstLineChars="200" w:firstLine="420"/>
        <w:rPr>
          <w:bCs/>
        </w:rPr>
      </w:pPr>
      <w:r>
        <w:rPr>
          <w:bCs/>
        </w:rPr>
        <w:t>（</w:t>
      </w:r>
      <w:r>
        <w:rPr>
          <w:bCs/>
        </w:rPr>
        <w:t>8</w:t>
      </w:r>
      <w:r>
        <w:rPr>
          <w:bCs/>
        </w:rPr>
        <w:t>）变更基金投资目标、范围或策略；</w:t>
      </w:r>
    </w:p>
    <w:p w:rsidR="00822B64" w:rsidRDefault="00E92BF7">
      <w:pPr>
        <w:snapToGrid w:val="0"/>
        <w:spacing w:line="360" w:lineRule="auto"/>
        <w:ind w:firstLineChars="200" w:firstLine="420"/>
        <w:rPr>
          <w:bCs/>
        </w:rPr>
      </w:pPr>
      <w:r>
        <w:rPr>
          <w:bCs/>
        </w:rPr>
        <w:t>（</w:t>
      </w:r>
      <w:r>
        <w:rPr>
          <w:bCs/>
        </w:rPr>
        <w:t>9</w:t>
      </w:r>
      <w:r>
        <w:rPr>
          <w:bCs/>
        </w:rPr>
        <w:t>）变更基金份额持有人大会程序；</w:t>
      </w:r>
    </w:p>
    <w:p w:rsidR="00822B64" w:rsidRDefault="00E92BF7">
      <w:pPr>
        <w:snapToGrid w:val="0"/>
        <w:spacing w:line="360" w:lineRule="auto"/>
        <w:ind w:firstLineChars="200" w:firstLine="420"/>
        <w:rPr>
          <w:bCs/>
        </w:rPr>
      </w:pPr>
      <w:r>
        <w:rPr>
          <w:bCs/>
        </w:rPr>
        <w:t>（</w:t>
      </w:r>
      <w:r>
        <w:rPr>
          <w:bCs/>
        </w:rPr>
        <w:t>10</w:t>
      </w:r>
      <w:r>
        <w:rPr>
          <w:bCs/>
        </w:rPr>
        <w:t>）基金管理人或基金托管人要求召开基金份额持有人大会；</w:t>
      </w:r>
    </w:p>
    <w:p w:rsidR="00822B64" w:rsidRDefault="00E92BF7">
      <w:pPr>
        <w:snapToGrid w:val="0"/>
        <w:spacing w:line="360" w:lineRule="auto"/>
        <w:ind w:firstLineChars="200" w:firstLine="420"/>
        <w:rPr>
          <w:bCs/>
        </w:rPr>
      </w:pPr>
      <w:r>
        <w:rPr>
          <w:bCs/>
        </w:rPr>
        <w:t>（</w:t>
      </w:r>
      <w:r>
        <w:rPr>
          <w:bCs/>
        </w:rPr>
        <w:t>11</w:t>
      </w:r>
      <w:r>
        <w:rPr>
          <w:bCs/>
        </w:rPr>
        <w:t>）单独或合计持有本基金总份额</w:t>
      </w:r>
      <w:r>
        <w:rPr>
          <w:bCs/>
        </w:rPr>
        <w:t>10%</w:t>
      </w:r>
      <w:r>
        <w:rPr>
          <w:bCs/>
        </w:rPr>
        <w:t>以上（含</w:t>
      </w:r>
      <w:r>
        <w:rPr>
          <w:bCs/>
        </w:rPr>
        <w:t>10%</w:t>
      </w:r>
      <w:r>
        <w:rPr>
          <w:bCs/>
        </w:rPr>
        <w:t>）基金份额的基金份额持有人（以基金管理人</w:t>
      </w:r>
      <w:r>
        <w:rPr>
          <w:rFonts w:hint="eastAsia"/>
          <w:bCs/>
        </w:rPr>
        <w:t>或基金托管人</w:t>
      </w:r>
      <w:r>
        <w:rPr>
          <w:bCs/>
        </w:rPr>
        <w:t>收到提议当日的基金份额计算，下同）就同一事项书面要求召开基金份额持有人大会；</w:t>
      </w:r>
    </w:p>
    <w:p w:rsidR="00822B64" w:rsidRDefault="00E92BF7">
      <w:pPr>
        <w:snapToGrid w:val="0"/>
        <w:spacing w:line="360" w:lineRule="auto"/>
        <w:ind w:firstLineChars="200" w:firstLine="420"/>
        <w:rPr>
          <w:bCs/>
        </w:rPr>
      </w:pPr>
      <w:r>
        <w:rPr>
          <w:bCs/>
        </w:rPr>
        <w:t>（</w:t>
      </w:r>
      <w:r>
        <w:rPr>
          <w:bCs/>
        </w:rPr>
        <w:t>12</w:t>
      </w:r>
      <w:r>
        <w:rPr>
          <w:bCs/>
        </w:rPr>
        <w:t>）对基金</w:t>
      </w:r>
      <w:r>
        <w:rPr>
          <w:rFonts w:hint="eastAsia"/>
          <w:bCs/>
        </w:rPr>
        <w:t>合同</w:t>
      </w:r>
      <w:r>
        <w:rPr>
          <w:bCs/>
        </w:rPr>
        <w:t>当事人权利和义务产生重大影响的其他事项；</w:t>
      </w:r>
    </w:p>
    <w:p w:rsidR="00822B64" w:rsidRDefault="00E92BF7">
      <w:pPr>
        <w:snapToGrid w:val="0"/>
        <w:spacing w:line="360" w:lineRule="auto"/>
        <w:ind w:firstLineChars="200" w:firstLine="420"/>
        <w:rPr>
          <w:bCs/>
        </w:rPr>
      </w:pPr>
      <w:r>
        <w:rPr>
          <w:bCs/>
        </w:rPr>
        <w:t>（</w:t>
      </w:r>
      <w:r>
        <w:rPr>
          <w:bCs/>
        </w:rPr>
        <w:t>13</w:t>
      </w:r>
      <w:r>
        <w:rPr>
          <w:bCs/>
        </w:rPr>
        <w:t>）法律法规、《基金合同》或中国证监会规定的其他应当召开基金份额持有人大会的事项。</w:t>
      </w:r>
    </w:p>
    <w:p w:rsidR="00822B64" w:rsidRDefault="00E92BF7">
      <w:pPr>
        <w:snapToGrid w:val="0"/>
        <w:spacing w:line="360" w:lineRule="auto"/>
        <w:ind w:firstLineChars="200" w:firstLine="420"/>
        <w:rPr>
          <w:bCs/>
        </w:rPr>
      </w:pPr>
      <w:r>
        <w:rPr>
          <w:bCs/>
        </w:rPr>
        <w:t>2</w:t>
      </w:r>
      <w:r>
        <w:rPr>
          <w:bCs/>
        </w:rPr>
        <w:t>、</w:t>
      </w:r>
      <w:r>
        <w:rPr>
          <w:rFonts w:hint="eastAsia"/>
          <w:bCs/>
        </w:rPr>
        <w:t>在法律法规规定和《基金合同》约定的范围内且对基金份额持有人</w:t>
      </w:r>
      <w:r>
        <w:rPr>
          <w:bCs/>
        </w:rPr>
        <w:t>利</w:t>
      </w:r>
      <w:r>
        <w:rPr>
          <w:rFonts w:hint="eastAsia"/>
          <w:bCs/>
        </w:rPr>
        <w:t>益无实质性不利影响的前提下，</w:t>
      </w:r>
      <w:r>
        <w:rPr>
          <w:bCs/>
        </w:rPr>
        <w:t>以下情况可由基金管理人和基金托管人协商后修改，不需召开基金份额持有人大会：</w:t>
      </w:r>
    </w:p>
    <w:p w:rsidR="00822B64" w:rsidRDefault="00E92BF7">
      <w:pPr>
        <w:snapToGrid w:val="0"/>
        <w:spacing w:line="360" w:lineRule="auto"/>
        <w:ind w:firstLineChars="200" w:firstLine="420"/>
        <w:rPr>
          <w:bCs/>
        </w:rPr>
      </w:pPr>
      <w:r>
        <w:rPr>
          <w:bCs/>
        </w:rPr>
        <w:t>（</w:t>
      </w:r>
      <w:r>
        <w:rPr>
          <w:rFonts w:hint="eastAsia"/>
          <w:bCs/>
        </w:rPr>
        <w:t>1</w:t>
      </w:r>
      <w:r>
        <w:rPr>
          <w:bCs/>
        </w:rPr>
        <w:t>）法律法规要求增加的基金费用的收取；</w:t>
      </w:r>
    </w:p>
    <w:p w:rsidR="00822B64" w:rsidRDefault="00E92BF7">
      <w:pPr>
        <w:snapToGrid w:val="0"/>
        <w:spacing w:line="360" w:lineRule="auto"/>
        <w:ind w:firstLineChars="200" w:firstLine="420"/>
        <w:rPr>
          <w:bCs/>
        </w:rPr>
      </w:pPr>
      <w:r>
        <w:rPr>
          <w:bCs/>
        </w:rPr>
        <w:t>（</w:t>
      </w:r>
      <w:r>
        <w:rPr>
          <w:rFonts w:hint="eastAsia"/>
          <w:bCs/>
        </w:rPr>
        <w:t>2</w:t>
      </w:r>
      <w:r>
        <w:rPr>
          <w:bCs/>
        </w:rPr>
        <w:t>）调整本基金的申购费率、调低赎回费率</w:t>
      </w:r>
      <w:r>
        <w:rPr>
          <w:rFonts w:hint="eastAsia"/>
          <w:bCs/>
        </w:rPr>
        <w:t>、</w:t>
      </w:r>
      <w:r>
        <w:rPr>
          <w:bCs/>
        </w:rPr>
        <w:t>变更收费方式</w:t>
      </w:r>
      <w:r>
        <w:rPr>
          <w:rFonts w:hint="eastAsia"/>
          <w:bCs/>
        </w:rPr>
        <w:t>或增加份额类别、调整基金份额类别设置、对基金份额分类办法及规则进行调整</w:t>
      </w:r>
      <w:r>
        <w:rPr>
          <w:bCs/>
        </w:rPr>
        <w:t>；</w:t>
      </w:r>
    </w:p>
    <w:p w:rsidR="00822B64" w:rsidRDefault="00E92BF7">
      <w:pPr>
        <w:snapToGrid w:val="0"/>
        <w:spacing w:line="360" w:lineRule="auto"/>
        <w:ind w:firstLineChars="200" w:firstLine="420"/>
        <w:rPr>
          <w:bCs/>
        </w:rPr>
      </w:pPr>
      <w:r>
        <w:rPr>
          <w:bCs/>
        </w:rPr>
        <w:t>（</w:t>
      </w:r>
      <w:r>
        <w:rPr>
          <w:rFonts w:hint="eastAsia"/>
          <w:bCs/>
        </w:rPr>
        <w:t>3</w:t>
      </w:r>
      <w:r>
        <w:rPr>
          <w:bCs/>
        </w:rPr>
        <w:t>）因相应的法律法规发生变动而应当对《基金合同》进行修改；</w:t>
      </w:r>
    </w:p>
    <w:p w:rsidR="00822B64" w:rsidRDefault="00E92BF7">
      <w:pPr>
        <w:snapToGrid w:val="0"/>
        <w:spacing w:line="360" w:lineRule="auto"/>
        <w:ind w:firstLineChars="200" w:firstLine="420"/>
        <w:rPr>
          <w:bCs/>
        </w:rPr>
      </w:pPr>
      <w:r>
        <w:rPr>
          <w:bCs/>
        </w:rPr>
        <w:t>（</w:t>
      </w:r>
      <w:r>
        <w:rPr>
          <w:rFonts w:hint="eastAsia"/>
          <w:bCs/>
        </w:rPr>
        <w:t>4</w:t>
      </w:r>
      <w:r>
        <w:rPr>
          <w:bCs/>
        </w:rPr>
        <w:t>）对《基金合同》的修改对基金份额持有人利益无实质性不利影响或修改不涉及《基金合同》当事人权利义务关系发生</w:t>
      </w:r>
      <w:r>
        <w:rPr>
          <w:rFonts w:hint="eastAsia"/>
          <w:bCs/>
        </w:rPr>
        <w:t>重大</w:t>
      </w:r>
      <w:r>
        <w:rPr>
          <w:bCs/>
        </w:rPr>
        <w:t>变化；</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）基金管理人、登记机构、基金销售机构在法律法规规定或中国证监会许可的范围内调整有关认购、申购、赎回、转换、基金交易、非交易过户、转托管等业务规则；</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）基金推出新业务或服务；</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）按照本基金合同</w:t>
      </w:r>
      <w:r>
        <w:rPr>
          <w:rFonts w:hint="eastAsia"/>
          <w:bCs/>
        </w:rPr>
        <w:t xml:space="preserve"> </w:t>
      </w:r>
      <w:r>
        <w:rPr>
          <w:rFonts w:hint="eastAsia"/>
          <w:bCs/>
        </w:rPr>
        <w:t>的约定，变更业绩比较基准；</w:t>
      </w:r>
    </w:p>
    <w:p w:rsidR="00822B64" w:rsidRDefault="00E92BF7">
      <w:pPr>
        <w:snapToGrid w:val="0"/>
        <w:spacing w:line="360" w:lineRule="auto"/>
        <w:ind w:firstLineChars="200" w:firstLine="420"/>
        <w:rPr>
          <w:bCs/>
        </w:rPr>
      </w:pPr>
      <w:r>
        <w:rPr>
          <w:bCs/>
        </w:rPr>
        <w:t>（</w:t>
      </w:r>
      <w:r>
        <w:rPr>
          <w:bCs/>
        </w:rPr>
        <w:t>8</w:t>
      </w:r>
      <w:r>
        <w:rPr>
          <w:bCs/>
        </w:rPr>
        <w:t>）按照法律法规和《基金合同》规定不需召开基金份额持有人大会的其他情形。</w:t>
      </w:r>
    </w:p>
    <w:p w:rsidR="00822B64" w:rsidRDefault="00E92BF7">
      <w:pPr>
        <w:snapToGrid w:val="0"/>
        <w:spacing w:line="360" w:lineRule="auto"/>
        <w:ind w:firstLineChars="200" w:firstLine="420"/>
        <w:rPr>
          <w:bCs/>
        </w:rPr>
      </w:pPr>
      <w:r>
        <w:rPr>
          <w:rFonts w:hint="eastAsia"/>
          <w:bCs/>
        </w:rPr>
        <w:t>（二）会议召集人及召集方式</w:t>
      </w:r>
    </w:p>
    <w:p w:rsidR="00822B64" w:rsidRDefault="00E92BF7">
      <w:pPr>
        <w:snapToGrid w:val="0"/>
        <w:spacing w:line="360" w:lineRule="auto"/>
        <w:ind w:firstLineChars="200" w:firstLine="420"/>
        <w:rPr>
          <w:bCs/>
        </w:rPr>
      </w:pPr>
      <w:r>
        <w:rPr>
          <w:rFonts w:hint="eastAsia"/>
          <w:bCs/>
        </w:rPr>
        <w:lastRenderedPageBreak/>
        <w:t>1</w:t>
      </w:r>
      <w:r>
        <w:rPr>
          <w:rFonts w:hint="eastAsia"/>
          <w:bCs/>
        </w:rPr>
        <w:t>、除法律法规规定或《基金合同》另有约定外，基金份额持有人大会由基金管理人召集。</w:t>
      </w:r>
    </w:p>
    <w:p w:rsidR="00822B64" w:rsidRDefault="00E92BF7">
      <w:pPr>
        <w:snapToGrid w:val="0"/>
        <w:spacing w:line="360" w:lineRule="auto"/>
        <w:ind w:firstLineChars="200" w:firstLine="420"/>
        <w:rPr>
          <w:bCs/>
        </w:rPr>
      </w:pPr>
      <w:r>
        <w:rPr>
          <w:rFonts w:hint="eastAsia"/>
          <w:bCs/>
        </w:rPr>
        <w:t>2</w:t>
      </w:r>
      <w:r>
        <w:rPr>
          <w:rFonts w:hint="eastAsia"/>
          <w:bCs/>
        </w:rPr>
        <w:t>、基金管理人未按规定召集或不能召集时，由基金托管人召集。</w:t>
      </w:r>
    </w:p>
    <w:p w:rsidR="00822B64" w:rsidRDefault="00E92BF7">
      <w:pPr>
        <w:snapToGrid w:val="0"/>
        <w:spacing w:line="360" w:lineRule="auto"/>
        <w:ind w:firstLineChars="200" w:firstLine="420"/>
        <w:rPr>
          <w:bCs/>
        </w:rPr>
      </w:pPr>
      <w:r>
        <w:rPr>
          <w:rFonts w:hint="eastAsia"/>
          <w:bCs/>
        </w:rPr>
        <w:t>3</w:t>
      </w:r>
      <w:r>
        <w:rPr>
          <w:rFonts w:hint="eastAsia"/>
          <w:bCs/>
        </w:rPr>
        <w:t>、基金托管人认为有必要召开基金份额持有人大会的，应当向基金管理人提出书面提议。基金管理人应当自收到书面提议之日起</w:t>
      </w:r>
      <w:r>
        <w:rPr>
          <w:rFonts w:hint="eastAsia"/>
          <w:bCs/>
        </w:rPr>
        <w:t>10</w:t>
      </w:r>
      <w:r>
        <w:rPr>
          <w:rFonts w:hint="eastAsia"/>
          <w:bCs/>
        </w:rPr>
        <w:t>日内决定是否召集，并书面告知基金托管人。基金管理人决定召集的，应当自出具书面决定之日起</w:t>
      </w:r>
      <w:r>
        <w:rPr>
          <w:rFonts w:hint="eastAsia"/>
          <w:bCs/>
        </w:rPr>
        <w:t>60</w:t>
      </w:r>
      <w:r>
        <w:rPr>
          <w:rFonts w:hint="eastAsia"/>
          <w:bCs/>
        </w:rPr>
        <w:t>日内召开；基金管理人决定不召集，基金托管人仍认为有必要召开的，应当由基金托管人自行召集，并自出具书面决定之日起</w:t>
      </w:r>
      <w:r>
        <w:rPr>
          <w:rFonts w:hint="eastAsia"/>
          <w:bCs/>
        </w:rPr>
        <w:t>6</w:t>
      </w:r>
      <w:r>
        <w:rPr>
          <w:bCs/>
        </w:rPr>
        <w:t>0</w:t>
      </w:r>
      <w:r>
        <w:rPr>
          <w:rFonts w:hint="eastAsia"/>
          <w:bCs/>
        </w:rPr>
        <w:t>日内召开并告知基金管理人，基金管理人应当配合。</w:t>
      </w:r>
    </w:p>
    <w:p w:rsidR="00822B64" w:rsidRDefault="00E92BF7">
      <w:pPr>
        <w:snapToGrid w:val="0"/>
        <w:spacing w:line="360" w:lineRule="auto"/>
        <w:ind w:firstLineChars="200" w:firstLine="420"/>
        <w:rPr>
          <w:bCs/>
        </w:rPr>
      </w:pPr>
      <w:r>
        <w:rPr>
          <w:rFonts w:hint="eastAsia"/>
          <w:bCs/>
        </w:rPr>
        <w:t>4</w:t>
      </w:r>
      <w:r>
        <w:rPr>
          <w:rFonts w:hint="eastAsia"/>
          <w:bCs/>
        </w:rPr>
        <w:t>、代表基金份额</w:t>
      </w:r>
      <w:r>
        <w:rPr>
          <w:rFonts w:hint="eastAsia"/>
          <w:bCs/>
        </w:rPr>
        <w:t>10%</w:t>
      </w:r>
      <w:r>
        <w:rPr>
          <w:rFonts w:hint="eastAsia"/>
          <w:bCs/>
        </w:rPr>
        <w:t>以上（含</w:t>
      </w:r>
      <w:r>
        <w:rPr>
          <w:rFonts w:hint="eastAsia"/>
          <w:bCs/>
        </w:rPr>
        <w:t>10%</w:t>
      </w:r>
      <w:r>
        <w:rPr>
          <w:rFonts w:hint="eastAsia"/>
          <w:bCs/>
        </w:rPr>
        <w:t>）的基金份额持有人就同一事项书面要求召开基金份额持有人大会，应当向基金管理人提出书面提议。基金管理人应当自收到书面提议之日起</w:t>
      </w:r>
      <w:r>
        <w:rPr>
          <w:rFonts w:hint="eastAsia"/>
          <w:bCs/>
        </w:rPr>
        <w:t>10</w:t>
      </w:r>
      <w:r>
        <w:rPr>
          <w:rFonts w:hint="eastAsia"/>
          <w:bCs/>
        </w:rPr>
        <w:t>日内决定是否召集，并书面告知提出提议的基金份额持有人代表和基金托管人。基金管理人决定召集的，应当自出具书面决定之日起</w:t>
      </w:r>
      <w:r>
        <w:rPr>
          <w:rFonts w:hint="eastAsia"/>
          <w:bCs/>
        </w:rPr>
        <w:t>60</w:t>
      </w:r>
      <w:r>
        <w:rPr>
          <w:rFonts w:hint="eastAsia"/>
          <w:bCs/>
        </w:rPr>
        <w:t>日内召开；基金管理人决定不召集，代表基金份额</w:t>
      </w:r>
      <w:r>
        <w:rPr>
          <w:rFonts w:hint="eastAsia"/>
          <w:bCs/>
        </w:rPr>
        <w:t>10%</w:t>
      </w:r>
      <w:r>
        <w:rPr>
          <w:rFonts w:hint="eastAsia"/>
          <w:bCs/>
        </w:rPr>
        <w:t>以上（含</w:t>
      </w:r>
      <w:r>
        <w:rPr>
          <w:rFonts w:hint="eastAsia"/>
          <w:bCs/>
        </w:rPr>
        <w:t>10%</w:t>
      </w:r>
      <w:r>
        <w:rPr>
          <w:rFonts w:hint="eastAsia"/>
          <w:bCs/>
        </w:rPr>
        <w:t>）的基金份额持有人仍认为有必要召开的，应当向基金托管人提出书面提议。基金托管人应当自收到书面提议之日起</w:t>
      </w:r>
      <w:r>
        <w:rPr>
          <w:rFonts w:hint="eastAsia"/>
          <w:bCs/>
        </w:rPr>
        <w:t>10</w:t>
      </w:r>
      <w:r>
        <w:rPr>
          <w:rFonts w:hint="eastAsia"/>
          <w:bCs/>
        </w:rPr>
        <w:t>日内决定是否召集，并书面告知提出提议的基金份额持有人代表和基金管理人；基金托管人决定召集的，应当自出具书面决定之日起</w:t>
      </w:r>
      <w:r>
        <w:rPr>
          <w:rFonts w:hint="eastAsia"/>
          <w:bCs/>
        </w:rPr>
        <w:t>60</w:t>
      </w:r>
      <w:r>
        <w:rPr>
          <w:rFonts w:hint="eastAsia"/>
          <w:bCs/>
        </w:rPr>
        <w:t>日内召开并告知基金管理人，基金管理人应当配合。</w:t>
      </w:r>
    </w:p>
    <w:p w:rsidR="00822B64" w:rsidRDefault="00E92BF7">
      <w:pPr>
        <w:snapToGrid w:val="0"/>
        <w:spacing w:line="360" w:lineRule="auto"/>
        <w:ind w:firstLineChars="200" w:firstLine="420"/>
        <w:rPr>
          <w:bCs/>
        </w:rPr>
      </w:pPr>
      <w:r>
        <w:rPr>
          <w:rFonts w:hint="eastAsia"/>
          <w:bCs/>
        </w:rPr>
        <w:t>5</w:t>
      </w:r>
      <w:r>
        <w:rPr>
          <w:rFonts w:hint="eastAsia"/>
          <w:bCs/>
        </w:rPr>
        <w:t>、代表基金份额</w:t>
      </w:r>
      <w:r>
        <w:rPr>
          <w:rFonts w:hint="eastAsia"/>
          <w:bCs/>
        </w:rPr>
        <w:t>10%</w:t>
      </w:r>
      <w:r>
        <w:rPr>
          <w:rFonts w:hint="eastAsia"/>
          <w:bCs/>
        </w:rPr>
        <w:t>以上（含</w:t>
      </w:r>
      <w:r>
        <w:rPr>
          <w:rFonts w:hint="eastAsia"/>
          <w:bCs/>
        </w:rPr>
        <w:t>10%</w:t>
      </w:r>
      <w:r>
        <w:rPr>
          <w:rFonts w:hint="eastAsia"/>
          <w:bCs/>
        </w:rPr>
        <w:t>）的基金份额持有人就同一事项要求召开基金份额持有人大会，而基金管理人、基金托管人都不召集的，单独或合计代表基金份额</w:t>
      </w:r>
      <w:r>
        <w:rPr>
          <w:rFonts w:hint="eastAsia"/>
          <w:bCs/>
        </w:rPr>
        <w:t>10%</w:t>
      </w:r>
      <w:r>
        <w:rPr>
          <w:rFonts w:hint="eastAsia"/>
          <w:bCs/>
        </w:rPr>
        <w:t>以上（含</w:t>
      </w:r>
      <w:r>
        <w:rPr>
          <w:rFonts w:hint="eastAsia"/>
          <w:bCs/>
        </w:rPr>
        <w:t>10%</w:t>
      </w:r>
      <w:r>
        <w:rPr>
          <w:rFonts w:hint="eastAsia"/>
          <w:bCs/>
        </w:rPr>
        <w:t>）的基金份额持有人有权自行召集，并至少提前</w:t>
      </w:r>
      <w:r>
        <w:rPr>
          <w:rFonts w:hint="eastAsia"/>
          <w:bCs/>
        </w:rPr>
        <w:t>30</w:t>
      </w:r>
      <w:r>
        <w:rPr>
          <w:rFonts w:hint="eastAsia"/>
          <w:bCs/>
        </w:rPr>
        <w:t>日报中国证监会备案。基金份额持有人依法自行召集基金份额持有人大会的，基金管理人、基金托管人应当配合，不得阻碍、干扰。</w:t>
      </w:r>
    </w:p>
    <w:p w:rsidR="00822B64" w:rsidRDefault="00E92BF7">
      <w:pPr>
        <w:snapToGrid w:val="0"/>
        <w:spacing w:line="360" w:lineRule="auto"/>
        <w:ind w:firstLineChars="200" w:firstLine="420"/>
        <w:rPr>
          <w:bCs/>
        </w:rPr>
      </w:pPr>
      <w:r>
        <w:rPr>
          <w:rFonts w:hint="eastAsia"/>
          <w:bCs/>
        </w:rPr>
        <w:t>6</w:t>
      </w:r>
      <w:r>
        <w:rPr>
          <w:rFonts w:hint="eastAsia"/>
          <w:bCs/>
        </w:rPr>
        <w:t>、基金份额持有人会议的召集人负责选择确定开会时间、地点、方式和权益登记日。</w:t>
      </w:r>
    </w:p>
    <w:p w:rsidR="00822B64" w:rsidRDefault="00E92BF7">
      <w:pPr>
        <w:snapToGrid w:val="0"/>
        <w:spacing w:line="360" w:lineRule="auto"/>
        <w:ind w:firstLineChars="200" w:firstLine="420"/>
        <w:rPr>
          <w:bCs/>
        </w:rPr>
      </w:pPr>
      <w:r>
        <w:rPr>
          <w:rFonts w:hint="eastAsia"/>
          <w:bCs/>
        </w:rPr>
        <w:t>（三）召开基金份额持有人大会的通知时间、通知内容、通知方式</w:t>
      </w:r>
    </w:p>
    <w:p w:rsidR="00822B64" w:rsidRDefault="00E92BF7">
      <w:pPr>
        <w:snapToGrid w:val="0"/>
        <w:spacing w:line="360" w:lineRule="auto"/>
        <w:ind w:firstLineChars="200" w:firstLine="420"/>
        <w:rPr>
          <w:bCs/>
        </w:rPr>
      </w:pPr>
      <w:r>
        <w:rPr>
          <w:rFonts w:hint="eastAsia"/>
          <w:bCs/>
        </w:rPr>
        <w:t>1</w:t>
      </w:r>
      <w:r>
        <w:rPr>
          <w:rFonts w:hint="eastAsia"/>
          <w:bCs/>
        </w:rPr>
        <w:t>、召开基金份额持有人大会，召集人应于会议召开前</w:t>
      </w:r>
      <w:r>
        <w:rPr>
          <w:rFonts w:hint="eastAsia"/>
          <w:bCs/>
        </w:rPr>
        <w:t>30</w:t>
      </w:r>
      <w:r>
        <w:rPr>
          <w:rFonts w:hint="eastAsia"/>
          <w:bCs/>
        </w:rPr>
        <w:t>日，在规定媒介公告。基金份额持有人大会通知应至少载明以下内容：</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）会议召开的时间、地点和会议形式；</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）会议拟审议的事项、议事程序和表决方式；</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）有权出席基金份额持有人大会的基金份额持有人的权益登记日；</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）授权委托证明的内容要求（包括但不限于代理人身份，代理权限和代理有效期限等）、送达时间和地点；</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）会务常设联系人姓名及联系电话；</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）出席会议者必须准备的文件和必须履行的手续；</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）召集人需要通知的其他事项。</w:t>
      </w:r>
    </w:p>
    <w:p w:rsidR="00822B64" w:rsidRDefault="00E92BF7">
      <w:pPr>
        <w:snapToGrid w:val="0"/>
        <w:spacing w:line="360" w:lineRule="auto"/>
        <w:ind w:firstLineChars="200" w:firstLine="420"/>
        <w:rPr>
          <w:bCs/>
        </w:rPr>
      </w:pPr>
      <w:r>
        <w:rPr>
          <w:rFonts w:hint="eastAsia"/>
          <w:bCs/>
        </w:rPr>
        <w:t>2</w:t>
      </w:r>
      <w:r>
        <w:rPr>
          <w:rFonts w:hint="eastAsia"/>
          <w:bCs/>
        </w:rPr>
        <w:t>、采取通讯开会方式并进行表决的情况下，由会议召集人决定在会议通知中说明本次</w:t>
      </w:r>
      <w:r>
        <w:rPr>
          <w:rFonts w:hint="eastAsia"/>
          <w:bCs/>
        </w:rPr>
        <w:lastRenderedPageBreak/>
        <w:t>基金份额持有人大会所采取的具体通讯方式、委托的公证机关及其联系方式和联系人、表决意见寄交的截止时间和收取方式。</w:t>
      </w:r>
    </w:p>
    <w:p w:rsidR="00822B64" w:rsidRDefault="00E92BF7">
      <w:pPr>
        <w:snapToGrid w:val="0"/>
        <w:spacing w:line="360" w:lineRule="auto"/>
        <w:ind w:firstLineChars="200" w:firstLine="420"/>
        <w:rPr>
          <w:bCs/>
        </w:rPr>
      </w:pPr>
      <w:r>
        <w:rPr>
          <w:rFonts w:hint="eastAsia"/>
          <w:bCs/>
        </w:rPr>
        <w:t>3</w:t>
      </w:r>
      <w:r>
        <w:rPr>
          <w:rFonts w:hint="eastAsia"/>
          <w:bCs/>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822B64" w:rsidRDefault="00E92BF7">
      <w:pPr>
        <w:snapToGrid w:val="0"/>
        <w:spacing w:line="360" w:lineRule="auto"/>
        <w:ind w:firstLineChars="200" w:firstLine="420"/>
        <w:rPr>
          <w:bCs/>
        </w:rPr>
      </w:pPr>
      <w:r>
        <w:rPr>
          <w:rFonts w:hint="eastAsia"/>
          <w:bCs/>
        </w:rPr>
        <w:t>（四）基金份额持有人出席会议的方式</w:t>
      </w:r>
    </w:p>
    <w:p w:rsidR="00822B64" w:rsidRDefault="00E92BF7">
      <w:pPr>
        <w:snapToGrid w:val="0"/>
        <w:spacing w:line="360" w:lineRule="auto"/>
        <w:ind w:firstLineChars="200" w:firstLine="420"/>
        <w:rPr>
          <w:bCs/>
        </w:rPr>
      </w:pPr>
      <w:r>
        <w:rPr>
          <w:rFonts w:hint="eastAsia"/>
          <w:bCs/>
        </w:rPr>
        <w:t>基金份额持有人大会可通过现场开会方式、通讯开会方式或法律法规、监管机构允许的其他方式召开，会议的召开方式由会议召集人确定。</w:t>
      </w:r>
    </w:p>
    <w:p w:rsidR="00822B64" w:rsidRDefault="00E92BF7">
      <w:pPr>
        <w:snapToGrid w:val="0"/>
        <w:spacing w:line="360" w:lineRule="auto"/>
        <w:ind w:firstLineChars="200" w:firstLine="420"/>
        <w:rPr>
          <w:bCs/>
        </w:rPr>
      </w:pPr>
      <w:r>
        <w:rPr>
          <w:rFonts w:hint="eastAsia"/>
          <w:bCs/>
        </w:rPr>
        <w:t>1</w:t>
      </w:r>
      <w:r>
        <w:rPr>
          <w:rFonts w:hint="eastAsia"/>
          <w:bCs/>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822B64" w:rsidRDefault="00E92BF7">
      <w:pPr>
        <w:snapToGrid w:val="0"/>
        <w:spacing w:line="360" w:lineRule="auto"/>
        <w:ind w:firstLineChars="200" w:firstLine="420"/>
        <w:rPr>
          <w:bCs/>
        </w:rPr>
      </w:pPr>
      <w:r>
        <w:rPr>
          <w:rFonts w:hint="eastAsia"/>
          <w:bCs/>
        </w:rPr>
        <w:t>（</w:t>
      </w:r>
      <w:r>
        <w:rPr>
          <w:bCs/>
        </w:rPr>
        <w:t>1</w:t>
      </w:r>
      <w:r>
        <w:rPr>
          <w:bCs/>
        </w:rPr>
        <w:t>）亲自出席会议者持有</w:t>
      </w:r>
      <w:r>
        <w:rPr>
          <w:rFonts w:hint="eastAsia"/>
          <w:bCs/>
        </w:rPr>
        <w:t>基金份额</w:t>
      </w:r>
      <w:r>
        <w:rPr>
          <w:bCs/>
        </w:rPr>
        <w:t>的</w:t>
      </w:r>
      <w:r>
        <w:rPr>
          <w:rFonts w:hint="eastAsia"/>
          <w:bCs/>
        </w:rPr>
        <w:t>凭证</w:t>
      </w:r>
      <w:r>
        <w:rPr>
          <w:bCs/>
        </w:rPr>
        <w:t>、受托出席会议者</w:t>
      </w:r>
      <w:r>
        <w:rPr>
          <w:rFonts w:hint="eastAsia"/>
          <w:bCs/>
        </w:rPr>
        <w:t>出具</w:t>
      </w:r>
      <w:r>
        <w:rPr>
          <w:bCs/>
        </w:rPr>
        <w:t>的委托人</w:t>
      </w:r>
      <w:r>
        <w:rPr>
          <w:rFonts w:hint="eastAsia"/>
          <w:bCs/>
        </w:rPr>
        <w:t>持有基金份额的凭证及委托人</w:t>
      </w:r>
      <w:r>
        <w:rPr>
          <w:bCs/>
        </w:rPr>
        <w:t>的代理投票授权委托证明符合法律法规、《基金合同》</w:t>
      </w:r>
      <w:r>
        <w:rPr>
          <w:rFonts w:hint="eastAsia"/>
          <w:bCs/>
        </w:rPr>
        <w:t>和会议通知的规定，并且持有基金份额的凭证与基金管理人持有的登记资料相符；</w:t>
      </w:r>
    </w:p>
    <w:p w:rsidR="00822B64" w:rsidRDefault="00E92BF7">
      <w:pPr>
        <w:snapToGrid w:val="0"/>
        <w:spacing w:line="360" w:lineRule="auto"/>
        <w:ind w:firstLineChars="200" w:firstLine="420"/>
        <w:rPr>
          <w:bCs/>
        </w:rPr>
      </w:pPr>
      <w:r>
        <w:rPr>
          <w:rFonts w:hint="eastAsia"/>
          <w:bCs/>
        </w:rPr>
        <w:t>（</w:t>
      </w:r>
      <w:r>
        <w:rPr>
          <w:bCs/>
        </w:rPr>
        <w:t>2</w:t>
      </w:r>
      <w:r>
        <w:rPr>
          <w:bCs/>
        </w:rPr>
        <w:t>）经核对，</w:t>
      </w:r>
      <w:r>
        <w:rPr>
          <w:rFonts w:hint="eastAsia"/>
          <w:bCs/>
        </w:rPr>
        <w:t>汇总</w:t>
      </w:r>
      <w:r>
        <w:rPr>
          <w:bCs/>
        </w:rPr>
        <w:t>到会者</w:t>
      </w:r>
      <w:r>
        <w:rPr>
          <w:rFonts w:hint="eastAsia"/>
          <w:bCs/>
        </w:rPr>
        <w:t>出示的</w:t>
      </w:r>
      <w:r>
        <w:rPr>
          <w:bCs/>
        </w:rPr>
        <w:t>在权益登记日</w:t>
      </w:r>
      <w:r>
        <w:rPr>
          <w:rFonts w:hint="eastAsia"/>
          <w:bCs/>
        </w:rPr>
        <w:t>持有基金份额</w:t>
      </w:r>
      <w:r>
        <w:rPr>
          <w:bCs/>
        </w:rPr>
        <w:t>的</w:t>
      </w:r>
      <w:r>
        <w:rPr>
          <w:rFonts w:hint="eastAsia"/>
          <w:bCs/>
        </w:rPr>
        <w:t>凭证显示，</w:t>
      </w:r>
      <w:r>
        <w:rPr>
          <w:bCs/>
        </w:rPr>
        <w:t>有效的基金份额不少于本基金在权益登记日基金总份额的二分之一（含二分之一）。</w:t>
      </w:r>
      <w:r>
        <w:rPr>
          <w:rFonts w:hint="eastAsia"/>
          <w:bCs/>
        </w:rPr>
        <w:t>若到会者在权益登记日代表的有效的基金份额少于本基金在权益登记日基金总份额的二分之一，召集人可以在原公告的基金份额持有人大会召开时间的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822B64" w:rsidRDefault="00E92BF7">
      <w:pPr>
        <w:snapToGrid w:val="0"/>
        <w:spacing w:line="360" w:lineRule="auto"/>
        <w:ind w:firstLineChars="200" w:firstLine="420"/>
        <w:rPr>
          <w:bCs/>
        </w:rPr>
      </w:pPr>
      <w:r>
        <w:rPr>
          <w:bCs/>
        </w:rPr>
        <w:t>2</w:t>
      </w:r>
      <w:r>
        <w:rPr>
          <w:bCs/>
        </w:rPr>
        <w:t>、通讯开会。通讯开会系指基金份额持有人将其对表决事项的投票以书面形式</w:t>
      </w:r>
      <w:r>
        <w:rPr>
          <w:rFonts w:hint="eastAsia"/>
          <w:bCs/>
        </w:rPr>
        <w:t>或基金合同约定的其他方式</w:t>
      </w:r>
      <w:r>
        <w:rPr>
          <w:bCs/>
        </w:rPr>
        <w:t>在表决截</w:t>
      </w:r>
      <w:r>
        <w:rPr>
          <w:rFonts w:hint="eastAsia"/>
          <w:bCs/>
        </w:rPr>
        <w:t>止</w:t>
      </w:r>
      <w:r>
        <w:rPr>
          <w:bCs/>
        </w:rPr>
        <w:t>日以前送达至召集人指定的地址。通讯开会应以书面</w:t>
      </w:r>
      <w:r>
        <w:rPr>
          <w:rFonts w:hint="eastAsia"/>
          <w:bCs/>
        </w:rPr>
        <w:t>方式或基金合同约定的其他</w:t>
      </w:r>
      <w:r>
        <w:rPr>
          <w:bCs/>
        </w:rPr>
        <w:t>方式进行表决。</w:t>
      </w:r>
    </w:p>
    <w:p w:rsidR="00822B64" w:rsidRDefault="00E92BF7">
      <w:pPr>
        <w:snapToGrid w:val="0"/>
        <w:spacing w:line="360" w:lineRule="auto"/>
        <w:ind w:firstLineChars="200" w:firstLine="420"/>
        <w:rPr>
          <w:bCs/>
        </w:rPr>
      </w:pPr>
      <w:r>
        <w:rPr>
          <w:rFonts w:hint="eastAsia"/>
          <w:bCs/>
        </w:rPr>
        <w:t>在同时符合以下条件时，通讯开会的方式视为有效：</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）会议召集人按《基金合同》约定公布会议通知后，在</w:t>
      </w:r>
      <w:r>
        <w:rPr>
          <w:rFonts w:hint="eastAsia"/>
          <w:bCs/>
        </w:rPr>
        <w:t>2</w:t>
      </w:r>
      <w:r>
        <w:rPr>
          <w:rFonts w:hint="eastAsia"/>
          <w:bCs/>
        </w:rPr>
        <w:t>个工作日内连续公布相关提示性公告；</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）本人直接出具表决意见或授权他人代表出具表决意见的，基金份额持有人所持有</w:t>
      </w:r>
      <w:r>
        <w:rPr>
          <w:rFonts w:hint="eastAsia"/>
          <w:bCs/>
        </w:rPr>
        <w:lastRenderedPageBreak/>
        <w:t>的基金份额不小于在权益登记日基金总份额的二分之一（含二分之一）；</w:t>
      </w:r>
    </w:p>
    <w:p w:rsidR="00822B64" w:rsidRDefault="00E92BF7">
      <w:pPr>
        <w:snapToGrid w:val="0"/>
        <w:spacing w:line="360" w:lineRule="auto"/>
        <w:ind w:firstLineChars="200" w:firstLine="420"/>
        <w:rPr>
          <w:bCs/>
        </w:rPr>
      </w:pPr>
      <w:r>
        <w:rPr>
          <w:rFonts w:hint="eastAsia"/>
          <w:bCs/>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个月以内，就原定审议事项重新召集基金份额持有人大会。重新召集的基金份额持有人大会应当有代表三分之一以上（含三分之一）基金份额的持有人直接出具表决意见或授权他人代表出具表决意见；</w:t>
      </w:r>
    </w:p>
    <w:p w:rsidR="00822B64" w:rsidRDefault="00E92BF7">
      <w:pPr>
        <w:snapToGrid w:val="0"/>
        <w:spacing w:line="360" w:lineRule="auto"/>
        <w:ind w:firstLineChars="200" w:firstLine="420"/>
        <w:rPr>
          <w:bCs/>
        </w:rPr>
      </w:pPr>
      <w:r>
        <w:rPr>
          <w:rFonts w:hint="eastAsia"/>
          <w:bCs/>
        </w:rPr>
        <w:t>（</w:t>
      </w:r>
      <w:r>
        <w:rPr>
          <w:bCs/>
        </w:rPr>
        <w:t>4</w:t>
      </w:r>
      <w:r>
        <w:rPr>
          <w:bCs/>
        </w:rPr>
        <w:t>）上述第（</w:t>
      </w:r>
      <w:r>
        <w:rPr>
          <w:bCs/>
        </w:rPr>
        <w:t>3</w:t>
      </w:r>
      <w:r>
        <w:rPr>
          <w:bCs/>
        </w:rPr>
        <w:t>）项中直接出具</w:t>
      </w:r>
      <w:r>
        <w:rPr>
          <w:rFonts w:hint="eastAsia"/>
          <w:bCs/>
        </w:rPr>
        <w:t>表决</w:t>
      </w:r>
      <w:r>
        <w:rPr>
          <w:bCs/>
        </w:rPr>
        <w:t>意见的基金份额持有人或受托代表他人出具</w:t>
      </w:r>
      <w:r>
        <w:rPr>
          <w:rFonts w:hint="eastAsia"/>
          <w:bCs/>
        </w:rPr>
        <w:t>表决</w:t>
      </w:r>
      <w:r>
        <w:rPr>
          <w:bCs/>
        </w:rPr>
        <w:t>意见的代理人，同时提交的</w:t>
      </w:r>
      <w:r>
        <w:rPr>
          <w:rFonts w:hint="eastAsia"/>
          <w:bCs/>
        </w:rPr>
        <w:t>持有基金份额的凭证</w:t>
      </w:r>
      <w:r>
        <w:rPr>
          <w:bCs/>
        </w:rPr>
        <w:t>、受托出具</w:t>
      </w:r>
      <w:r>
        <w:rPr>
          <w:rFonts w:hint="eastAsia"/>
          <w:bCs/>
        </w:rPr>
        <w:t>表决</w:t>
      </w:r>
      <w:r>
        <w:rPr>
          <w:bCs/>
        </w:rPr>
        <w:t>意见的代理人</w:t>
      </w:r>
      <w:r>
        <w:rPr>
          <w:rFonts w:hint="eastAsia"/>
          <w:bCs/>
        </w:rPr>
        <w:t>出具</w:t>
      </w:r>
      <w:r>
        <w:rPr>
          <w:bCs/>
        </w:rPr>
        <w:t>的委托人</w:t>
      </w:r>
      <w:r>
        <w:rPr>
          <w:rFonts w:hint="eastAsia"/>
          <w:bCs/>
        </w:rPr>
        <w:t>持有基金份额的凭证及委托人</w:t>
      </w:r>
      <w:r>
        <w:rPr>
          <w:bCs/>
        </w:rPr>
        <w:t>的代理投票授权委托证明符合法律法规、《基金合同》和会议通知的规定，并与基金登记机构记录相符。</w:t>
      </w:r>
    </w:p>
    <w:p w:rsidR="00822B64" w:rsidRDefault="00E92BF7">
      <w:pPr>
        <w:snapToGrid w:val="0"/>
        <w:spacing w:line="360" w:lineRule="auto"/>
        <w:ind w:firstLineChars="200" w:firstLine="420"/>
        <w:rPr>
          <w:bCs/>
        </w:rPr>
      </w:pPr>
      <w:r>
        <w:rPr>
          <w:rFonts w:hint="eastAsia"/>
          <w:bCs/>
        </w:rPr>
        <w:t>3</w:t>
      </w:r>
      <w:r>
        <w:rPr>
          <w:rFonts w:hint="eastAsia"/>
          <w:bCs/>
        </w:rPr>
        <w:t>、在法律法规和监管机关允许的情况下，本基金的基金份额持有人亦可采用其他非书面方式授权其代理人出席基金份额持有人大会，授权方式可以采用书面、网络、电话、短信或其他方式，具体方式由会议召集人确定并在会议通知中列明；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822B64" w:rsidRDefault="00E92BF7">
      <w:pPr>
        <w:snapToGrid w:val="0"/>
        <w:spacing w:line="360" w:lineRule="auto"/>
        <w:ind w:firstLineChars="200" w:firstLine="420"/>
        <w:rPr>
          <w:bCs/>
        </w:rPr>
      </w:pPr>
      <w:r>
        <w:rPr>
          <w:rFonts w:hint="eastAsia"/>
          <w:bCs/>
        </w:rPr>
        <w:t>（五）议事内容与程序</w:t>
      </w:r>
    </w:p>
    <w:p w:rsidR="00822B64" w:rsidRDefault="00E92BF7">
      <w:pPr>
        <w:snapToGrid w:val="0"/>
        <w:spacing w:line="360" w:lineRule="auto"/>
        <w:ind w:firstLineChars="200" w:firstLine="420"/>
        <w:rPr>
          <w:bCs/>
        </w:rPr>
      </w:pPr>
      <w:r>
        <w:rPr>
          <w:rFonts w:hint="eastAsia"/>
          <w:bCs/>
        </w:rPr>
        <w:t>1</w:t>
      </w:r>
      <w:r>
        <w:rPr>
          <w:rFonts w:hint="eastAsia"/>
          <w:bCs/>
        </w:rPr>
        <w:t>、议事内容及提案权</w:t>
      </w:r>
    </w:p>
    <w:p w:rsidR="00822B64" w:rsidRDefault="00E92BF7">
      <w:pPr>
        <w:snapToGrid w:val="0"/>
        <w:spacing w:line="360" w:lineRule="auto"/>
        <w:ind w:firstLineChars="200" w:firstLine="420"/>
        <w:rPr>
          <w:bCs/>
        </w:rPr>
      </w:pPr>
      <w:r>
        <w:rPr>
          <w:rFonts w:hint="eastAsia"/>
          <w:bCs/>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822B64" w:rsidRDefault="00E92BF7">
      <w:pPr>
        <w:snapToGrid w:val="0"/>
        <w:spacing w:line="360" w:lineRule="auto"/>
        <w:ind w:firstLineChars="200" w:firstLine="420"/>
        <w:rPr>
          <w:bCs/>
        </w:rPr>
      </w:pPr>
      <w:r>
        <w:rPr>
          <w:rFonts w:hint="eastAsia"/>
          <w:bCs/>
        </w:rPr>
        <w:t>基金份额持有人大会的召集人发出召集会议的通知后，对原有提案的修改应当在基金份额持有人大会召开前及时公告。</w:t>
      </w:r>
    </w:p>
    <w:p w:rsidR="00822B64" w:rsidRDefault="00E92BF7">
      <w:pPr>
        <w:snapToGrid w:val="0"/>
        <w:spacing w:line="360" w:lineRule="auto"/>
        <w:ind w:firstLineChars="200" w:firstLine="420"/>
        <w:rPr>
          <w:bCs/>
        </w:rPr>
      </w:pPr>
      <w:r>
        <w:rPr>
          <w:rFonts w:hint="eastAsia"/>
          <w:bCs/>
        </w:rPr>
        <w:t>基金份额持有人大会不得对未事先公告的议事内容进行表决。</w:t>
      </w:r>
    </w:p>
    <w:p w:rsidR="00822B64" w:rsidRDefault="00E92BF7">
      <w:pPr>
        <w:snapToGrid w:val="0"/>
        <w:spacing w:line="360" w:lineRule="auto"/>
        <w:ind w:firstLineChars="200" w:firstLine="420"/>
        <w:rPr>
          <w:bCs/>
        </w:rPr>
      </w:pPr>
      <w:r>
        <w:rPr>
          <w:rFonts w:hint="eastAsia"/>
          <w:bCs/>
        </w:rPr>
        <w:t>2</w:t>
      </w:r>
      <w:r>
        <w:rPr>
          <w:rFonts w:hint="eastAsia"/>
          <w:bCs/>
        </w:rPr>
        <w:t>、议事程序</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）现场开会</w:t>
      </w:r>
    </w:p>
    <w:p w:rsidR="00822B64" w:rsidRDefault="00E92BF7">
      <w:pPr>
        <w:snapToGrid w:val="0"/>
        <w:spacing w:line="360" w:lineRule="auto"/>
        <w:ind w:firstLineChars="200" w:firstLine="420"/>
        <w:rPr>
          <w:bCs/>
        </w:rPr>
      </w:pPr>
      <w:r>
        <w:rPr>
          <w:rFonts w:hint="eastAsia"/>
          <w:bCs/>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rPr>
        <w:t>5</w:t>
      </w:r>
      <w:r>
        <w:rPr>
          <w:bCs/>
        </w:rPr>
        <w:t>0</w:t>
      </w:r>
      <w:r>
        <w:rPr>
          <w:rFonts w:hint="eastAsia"/>
          <w:bCs/>
        </w:rPr>
        <w:t>%</w:t>
      </w:r>
      <w:r>
        <w:rPr>
          <w:rFonts w:hint="eastAsia"/>
          <w:bCs/>
        </w:rPr>
        <w:t>以上（含</w:t>
      </w:r>
      <w:r>
        <w:rPr>
          <w:rFonts w:hint="eastAsia"/>
          <w:bCs/>
        </w:rPr>
        <w:t>5</w:t>
      </w:r>
      <w:r>
        <w:rPr>
          <w:bCs/>
        </w:rPr>
        <w:t>0</w:t>
      </w:r>
      <w:r>
        <w:rPr>
          <w:rFonts w:hint="eastAsia"/>
          <w:bCs/>
        </w:rPr>
        <w:t>%</w:t>
      </w:r>
      <w:r>
        <w:rPr>
          <w:rFonts w:hint="eastAsia"/>
          <w:bCs/>
        </w:rPr>
        <w:t>）选举产生一名基金份额持有人作为该次基金份额持有人大会的主持人。基金管理人和基金托管人拒不出席或主持基金份额持有人大会，不影响基金份额持有人大会作出的决议的效力。</w:t>
      </w:r>
    </w:p>
    <w:p w:rsidR="00822B64" w:rsidRDefault="00E92BF7">
      <w:pPr>
        <w:snapToGrid w:val="0"/>
        <w:spacing w:line="360" w:lineRule="auto"/>
        <w:ind w:firstLineChars="200" w:firstLine="420"/>
        <w:rPr>
          <w:bCs/>
        </w:rPr>
      </w:pPr>
      <w:r>
        <w:rPr>
          <w:rFonts w:hint="eastAsia"/>
          <w:bCs/>
        </w:rPr>
        <w:t>会议召集人应当制作出席会议人员的签名册。签名册载明参加会议人员姓名（或单位名</w:t>
      </w:r>
      <w:r>
        <w:rPr>
          <w:rFonts w:hint="eastAsia"/>
          <w:bCs/>
        </w:rPr>
        <w:lastRenderedPageBreak/>
        <w:t>称）、身份证明文件号码、持有或代表有表决权的基金份额、委托人姓名（或单位名称）和联系方式等事项。</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）通讯开会</w:t>
      </w:r>
    </w:p>
    <w:p w:rsidR="00822B64" w:rsidRDefault="00E92BF7">
      <w:pPr>
        <w:snapToGrid w:val="0"/>
        <w:spacing w:line="360" w:lineRule="auto"/>
        <w:ind w:firstLineChars="200" w:firstLine="420"/>
        <w:rPr>
          <w:bCs/>
        </w:rPr>
      </w:pPr>
      <w:r>
        <w:rPr>
          <w:rFonts w:hint="eastAsia"/>
          <w:bCs/>
        </w:rPr>
        <w:t>在通讯开会的情况下，首先由召集人提前</w:t>
      </w:r>
      <w:r>
        <w:rPr>
          <w:rFonts w:hint="eastAsia"/>
          <w:bCs/>
        </w:rPr>
        <w:t>30</w:t>
      </w:r>
      <w:r>
        <w:rPr>
          <w:rFonts w:hint="eastAsia"/>
          <w:bCs/>
        </w:rPr>
        <w:t>日公布提案，在所通知的表决截止日期后</w:t>
      </w:r>
      <w:r>
        <w:rPr>
          <w:rFonts w:hint="eastAsia"/>
          <w:bCs/>
        </w:rPr>
        <w:t>2</w:t>
      </w:r>
      <w:r>
        <w:rPr>
          <w:rFonts w:hint="eastAsia"/>
          <w:bCs/>
        </w:rPr>
        <w:t>个工作日内在公证机关监督下由召集人统计全部有效表决，在公证机关监督下形成决议。</w:t>
      </w:r>
    </w:p>
    <w:p w:rsidR="00822B64" w:rsidRDefault="00E92BF7">
      <w:pPr>
        <w:snapToGrid w:val="0"/>
        <w:spacing w:line="360" w:lineRule="auto"/>
        <w:ind w:firstLineChars="200" w:firstLine="420"/>
        <w:rPr>
          <w:bCs/>
        </w:rPr>
      </w:pPr>
      <w:r>
        <w:rPr>
          <w:rFonts w:hint="eastAsia"/>
          <w:bCs/>
        </w:rPr>
        <w:t>（六）表决</w:t>
      </w:r>
    </w:p>
    <w:p w:rsidR="00822B64" w:rsidRDefault="00E92BF7">
      <w:pPr>
        <w:snapToGrid w:val="0"/>
        <w:spacing w:line="360" w:lineRule="auto"/>
        <w:ind w:firstLineChars="200" w:firstLine="420"/>
        <w:rPr>
          <w:bCs/>
        </w:rPr>
      </w:pPr>
      <w:r>
        <w:rPr>
          <w:bCs/>
        </w:rPr>
        <w:t>基金份额持有人所持每份基金份额有一票表决权。</w:t>
      </w:r>
    </w:p>
    <w:p w:rsidR="00822B64" w:rsidRDefault="00E92BF7">
      <w:pPr>
        <w:snapToGrid w:val="0"/>
        <w:spacing w:line="360" w:lineRule="auto"/>
        <w:ind w:firstLineChars="200" w:firstLine="420"/>
        <w:rPr>
          <w:bCs/>
        </w:rPr>
      </w:pPr>
      <w:r>
        <w:rPr>
          <w:bCs/>
        </w:rPr>
        <w:t>基金份额持有人大会决议分为一般决议和特别决议：</w:t>
      </w:r>
    </w:p>
    <w:p w:rsidR="00822B64" w:rsidRDefault="00E92BF7">
      <w:pPr>
        <w:snapToGrid w:val="0"/>
        <w:spacing w:line="360" w:lineRule="auto"/>
        <w:ind w:firstLineChars="200" w:firstLine="420"/>
        <w:rPr>
          <w:bCs/>
        </w:rPr>
      </w:pPr>
      <w:r>
        <w:rPr>
          <w:bCs/>
        </w:rPr>
        <w:t>1</w:t>
      </w:r>
      <w:r>
        <w:rPr>
          <w:bCs/>
        </w:rPr>
        <w:t>、一般决议，一般决议须经参加大会的基金份额持有人或其代理人所持表决权的</w:t>
      </w:r>
      <w:r>
        <w:rPr>
          <w:rFonts w:hint="eastAsia"/>
          <w:bCs/>
        </w:rPr>
        <w:t>二分之一</w:t>
      </w:r>
      <w:r>
        <w:rPr>
          <w:bCs/>
        </w:rPr>
        <w:t>以上（含</w:t>
      </w:r>
      <w:r>
        <w:rPr>
          <w:rFonts w:hint="eastAsia"/>
          <w:bCs/>
        </w:rPr>
        <w:t>二分之一</w:t>
      </w:r>
      <w:r>
        <w:rPr>
          <w:bCs/>
        </w:rPr>
        <w:t>）通过方为有效；除下列第</w:t>
      </w:r>
      <w:r>
        <w:rPr>
          <w:bCs/>
        </w:rPr>
        <w:t>2</w:t>
      </w:r>
      <w:r>
        <w:rPr>
          <w:bCs/>
        </w:rPr>
        <w:t>项所规定的须以特别决议通过事项以外的其他事项均以一般决议的方式通过。</w:t>
      </w:r>
    </w:p>
    <w:p w:rsidR="00822B64" w:rsidRDefault="00E92BF7">
      <w:pPr>
        <w:snapToGrid w:val="0"/>
        <w:spacing w:line="360" w:lineRule="auto"/>
        <w:ind w:firstLineChars="200" w:firstLine="420"/>
        <w:rPr>
          <w:bCs/>
        </w:rPr>
      </w:pPr>
      <w:r>
        <w:rPr>
          <w:bCs/>
        </w:rPr>
        <w:t>2</w:t>
      </w:r>
      <w:r>
        <w:rPr>
          <w:bCs/>
        </w:rPr>
        <w:t>、特别决议，特别决议应当经参加大会的基金份额持有人或其代理人所持表决权的</w:t>
      </w:r>
      <w:r>
        <w:rPr>
          <w:rFonts w:hint="eastAsia"/>
          <w:bCs/>
        </w:rPr>
        <w:t>三分之二</w:t>
      </w:r>
      <w:r>
        <w:rPr>
          <w:bCs/>
        </w:rPr>
        <w:t>以上（含</w:t>
      </w:r>
      <w:r>
        <w:rPr>
          <w:rFonts w:hint="eastAsia"/>
          <w:bCs/>
        </w:rPr>
        <w:t>三分之二</w:t>
      </w:r>
      <w:r>
        <w:rPr>
          <w:bCs/>
        </w:rPr>
        <w:t>）通过方可做出。</w:t>
      </w:r>
      <w:r>
        <w:rPr>
          <w:rFonts w:hint="eastAsia"/>
          <w:bCs/>
        </w:rPr>
        <w:t>除法律法规、中国证监会另有规定或《基金合同》另有约定外，</w:t>
      </w:r>
      <w:r>
        <w:rPr>
          <w:bCs/>
        </w:rPr>
        <w:t>转换基金运作方式、更换基金管理人或者基金托管人、终止《基金合同》</w:t>
      </w:r>
      <w:r>
        <w:rPr>
          <w:rFonts w:hint="eastAsia"/>
          <w:bCs/>
        </w:rPr>
        <w:t>、本基金与其他基金合并</w:t>
      </w:r>
      <w:r>
        <w:rPr>
          <w:bCs/>
        </w:rPr>
        <w:t>以特别决议通过方为有效。</w:t>
      </w:r>
    </w:p>
    <w:p w:rsidR="00822B64" w:rsidRDefault="00E92BF7">
      <w:pPr>
        <w:snapToGrid w:val="0"/>
        <w:spacing w:line="360" w:lineRule="auto"/>
        <w:ind w:firstLineChars="200" w:firstLine="420"/>
        <w:rPr>
          <w:bCs/>
        </w:rPr>
      </w:pPr>
      <w:r>
        <w:rPr>
          <w:bCs/>
        </w:rPr>
        <w:t>基金份额持有人大会采取记名方式进行投票表决。</w:t>
      </w:r>
    </w:p>
    <w:p w:rsidR="00822B64" w:rsidRDefault="00E92BF7">
      <w:pPr>
        <w:snapToGrid w:val="0"/>
        <w:spacing w:line="360" w:lineRule="auto"/>
        <w:ind w:firstLineChars="200" w:firstLine="420"/>
        <w:rPr>
          <w:bCs/>
        </w:rPr>
      </w:pPr>
      <w:r>
        <w:rPr>
          <w:bCs/>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hint="eastAsia"/>
          <w:bCs/>
        </w:rPr>
        <w:t>表决</w:t>
      </w:r>
      <w:r>
        <w:rPr>
          <w:bCs/>
        </w:rPr>
        <w:t>意见的基金份额持有人所代表的基金份额总数。</w:t>
      </w:r>
    </w:p>
    <w:p w:rsidR="00822B64" w:rsidRDefault="00E92BF7">
      <w:pPr>
        <w:snapToGrid w:val="0"/>
        <w:spacing w:line="360" w:lineRule="auto"/>
        <w:ind w:firstLineChars="200" w:firstLine="420"/>
        <w:rPr>
          <w:bCs/>
        </w:rPr>
      </w:pPr>
      <w:r>
        <w:rPr>
          <w:bCs/>
        </w:rPr>
        <w:t>基金份额持有人大会的各项提案或同一项提案内并列的各项议题应当分开审议、逐项表决。</w:t>
      </w:r>
    </w:p>
    <w:p w:rsidR="00822B64" w:rsidRDefault="00E92BF7">
      <w:pPr>
        <w:snapToGrid w:val="0"/>
        <w:spacing w:line="360" w:lineRule="auto"/>
        <w:ind w:firstLineChars="200" w:firstLine="420"/>
        <w:rPr>
          <w:bCs/>
        </w:rPr>
      </w:pPr>
      <w:r>
        <w:rPr>
          <w:rFonts w:hint="eastAsia"/>
          <w:bCs/>
        </w:rPr>
        <w:t>（七）计票</w:t>
      </w:r>
    </w:p>
    <w:p w:rsidR="00822B64" w:rsidRDefault="00E92BF7">
      <w:pPr>
        <w:snapToGrid w:val="0"/>
        <w:spacing w:line="360" w:lineRule="auto"/>
        <w:ind w:firstLineChars="200" w:firstLine="420"/>
        <w:rPr>
          <w:bCs/>
        </w:rPr>
      </w:pPr>
      <w:r>
        <w:rPr>
          <w:rFonts w:hint="eastAsia"/>
          <w:bCs/>
        </w:rPr>
        <w:t>1</w:t>
      </w:r>
      <w:r>
        <w:rPr>
          <w:rFonts w:hint="eastAsia"/>
          <w:bCs/>
        </w:rPr>
        <w:t>、现场开会</w:t>
      </w:r>
    </w:p>
    <w:p w:rsidR="00822B64" w:rsidRDefault="00E92BF7">
      <w:pPr>
        <w:snapToGrid w:val="0"/>
        <w:spacing w:line="360" w:lineRule="auto"/>
        <w:ind w:firstLineChars="200" w:firstLine="420"/>
        <w:rPr>
          <w:bCs/>
        </w:rPr>
      </w:pPr>
      <w:r>
        <w:rPr>
          <w:rFonts w:hint="eastAsia"/>
          <w:bCs/>
        </w:rPr>
        <w:t>（</w:t>
      </w:r>
      <w:r>
        <w:rPr>
          <w:rFonts w:hint="eastAsia"/>
          <w:bCs/>
        </w:rPr>
        <w:t>1</w:t>
      </w:r>
      <w:r>
        <w:rPr>
          <w:rFonts w:hint="eastAsia"/>
          <w:bCs/>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）监票人应当在基金份额持有人表决后立即进行清点并由大会主持人当场公布计票结果。</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）如果会议主持人或基金份额持有人或代理人对于提交的表决结果有怀疑，可以在宣布表决结果后立即对所投票数要求进行重新清点。监票人应当进行重新清点，重新清点以</w:t>
      </w:r>
      <w:r>
        <w:rPr>
          <w:rFonts w:hint="eastAsia"/>
          <w:bCs/>
        </w:rPr>
        <w:lastRenderedPageBreak/>
        <w:t>一次为限。重新清点后，大会主持人应当当场公布重新清点结果。</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）计票过程应由公证机关予以公证，基金管理人或基金托管人拒不出席大会的，不影响计票的效力。</w:t>
      </w:r>
    </w:p>
    <w:p w:rsidR="00822B64" w:rsidRDefault="00E92BF7">
      <w:pPr>
        <w:snapToGrid w:val="0"/>
        <w:spacing w:line="360" w:lineRule="auto"/>
        <w:ind w:firstLineChars="200" w:firstLine="420"/>
        <w:rPr>
          <w:bCs/>
        </w:rPr>
      </w:pPr>
      <w:r>
        <w:rPr>
          <w:rFonts w:hint="eastAsia"/>
          <w:bCs/>
        </w:rPr>
        <w:t>2</w:t>
      </w:r>
      <w:r>
        <w:rPr>
          <w:rFonts w:hint="eastAsia"/>
          <w:bCs/>
        </w:rPr>
        <w:t>、通讯开会</w:t>
      </w:r>
    </w:p>
    <w:p w:rsidR="00822B64" w:rsidRDefault="00E92BF7">
      <w:pPr>
        <w:snapToGrid w:val="0"/>
        <w:spacing w:line="360" w:lineRule="auto"/>
        <w:ind w:firstLineChars="200" w:firstLine="420"/>
        <w:rPr>
          <w:bCs/>
        </w:rPr>
      </w:pPr>
      <w:r>
        <w:rPr>
          <w:rFonts w:hint="eastAsia"/>
          <w:bCs/>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822B64" w:rsidRDefault="00E92BF7">
      <w:pPr>
        <w:snapToGrid w:val="0"/>
        <w:spacing w:line="360" w:lineRule="auto"/>
        <w:ind w:firstLineChars="200" w:firstLine="420"/>
        <w:rPr>
          <w:bCs/>
        </w:rPr>
      </w:pPr>
      <w:r>
        <w:rPr>
          <w:rFonts w:hint="eastAsia"/>
          <w:bCs/>
        </w:rPr>
        <w:t>（八）生效与公告</w:t>
      </w:r>
    </w:p>
    <w:p w:rsidR="00822B64" w:rsidRDefault="00E92BF7">
      <w:pPr>
        <w:snapToGrid w:val="0"/>
        <w:spacing w:line="360" w:lineRule="auto"/>
        <w:ind w:firstLineChars="200" w:firstLine="420"/>
        <w:rPr>
          <w:bCs/>
        </w:rPr>
      </w:pPr>
      <w:r>
        <w:rPr>
          <w:rFonts w:hint="eastAsia"/>
          <w:bCs/>
        </w:rPr>
        <w:t>基金份额持有人大会的决议，召集人应当自通过之日起</w:t>
      </w:r>
      <w:r>
        <w:rPr>
          <w:rFonts w:hint="eastAsia"/>
          <w:bCs/>
        </w:rPr>
        <w:t>5</w:t>
      </w:r>
      <w:r>
        <w:rPr>
          <w:rFonts w:hint="eastAsia"/>
          <w:bCs/>
        </w:rPr>
        <w:t>日内报中国证监会备案。</w:t>
      </w:r>
    </w:p>
    <w:p w:rsidR="00822B64" w:rsidRDefault="00E92BF7">
      <w:pPr>
        <w:snapToGrid w:val="0"/>
        <w:spacing w:line="360" w:lineRule="auto"/>
        <w:ind w:firstLineChars="200" w:firstLine="420"/>
        <w:rPr>
          <w:bCs/>
        </w:rPr>
      </w:pPr>
      <w:r>
        <w:rPr>
          <w:rFonts w:hint="eastAsia"/>
          <w:bCs/>
        </w:rPr>
        <w:t>基金份额持有人大会的决议自表决通过之日起生效。</w:t>
      </w:r>
    </w:p>
    <w:p w:rsidR="00822B64" w:rsidRDefault="00E92BF7">
      <w:pPr>
        <w:snapToGrid w:val="0"/>
        <w:spacing w:line="360" w:lineRule="auto"/>
        <w:ind w:firstLineChars="200" w:firstLine="420"/>
        <w:rPr>
          <w:bCs/>
        </w:rPr>
      </w:pPr>
      <w:r>
        <w:rPr>
          <w:rFonts w:hint="eastAsia"/>
          <w:bCs/>
        </w:rPr>
        <w:t>基金份额持有人大会决议自生效之日起</w:t>
      </w:r>
      <w:r>
        <w:rPr>
          <w:rFonts w:hint="eastAsia"/>
          <w:bCs/>
        </w:rPr>
        <w:t>2</w:t>
      </w:r>
      <w:r>
        <w:rPr>
          <w:rFonts w:hint="eastAsia"/>
          <w:bCs/>
        </w:rPr>
        <w:t>日内在规定媒介上公告。如果采用通讯方式进行表决，在公告基金份额持有人大会决议时，必须将公证书全文、公证机构、公证员姓名等一同公告。</w:t>
      </w:r>
    </w:p>
    <w:p w:rsidR="00822B64" w:rsidRDefault="00E92BF7">
      <w:pPr>
        <w:snapToGrid w:val="0"/>
        <w:spacing w:line="360" w:lineRule="auto"/>
        <w:ind w:firstLineChars="200" w:firstLine="420"/>
        <w:rPr>
          <w:bCs/>
        </w:rPr>
      </w:pPr>
      <w:r>
        <w:rPr>
          <w:rFonts w:hint="eastAsia"/>
          <w:bCs/>
        </w:rPr>
        <w:t>基金管理人、基金托管人和基金份额持有人应当执行生效的基金份额持有人大会的决议。生效的基金份额持有人大会决议对全体基金份额持有人、基金管理人、基金托管人均有约束力。</w:t>
      </w:r>
    </w:p>
    <w:p w:rsidR="00822B64" w:rsidRDefault="00E92BF7">
      <w:pPr>
        <w:snapToGrid w:val="0"/>
        <w:spacing w:line="360" w:lineRule="auto"/>
        <w:ind w:firstLineChars="200" w:firstLine="420"/>
        <w:rPr>
          <w:bCs/>
        </w:rPr>
      </w:pPr>
      <w:bookmarkStart w:id="335" w:name="_Hlk48128026"/>
      <w:r>
        <w:rPr>
          <w:rFonts w:hint="eastAsia"/>
          <w:bCs/>
        </w:rPr>
        <w:t>（九）实施侧袋机制期间基金份额持有人大会的特殊约定</w:t>
      </w:r>
    </w:p>
    <w:p w:rsidR="00822B64" w:rsidRDefault="00E92BF7">
      <w:pPr>
        <w:snapToGrid w:val="0"/>
        <w:spacing w:line="360" w:lineRule="auto"/>
        <w:ind w:firstLineChars="200" w:firstLine="420"/>
        <w:rPr>
          <w:bCs/>
        </w:rPr>
      </w:pPr>
      <w:r>
        <w:rPr>
          <w:rFonts w:hint="eastAsia"/>
          <w:bCs/>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rsidR="00822B64" w:rsidRDefault="00E92BF7">
      <w:pPr>
        <w:snapToGrid w:val="0"/>
        <w:spacing w:line="360" w:lineRule="auto"/>
        <w:ind w:firstLineChars="200" w:firstLine="420"/>
        <w:rPr>
          <w:bCs/>
        </w:rPr>
      </w:pPr>
      <w:r>
        <w:rPr>
          <w:rFonts w:hint="eastAsia"/>
          <w:bCs/>
        </w:rPr>
        <w:t>1</w:t>
      </w:r>
      <w:r>
        <w:rPr>
          <w:rFonts w:hint="eastAsia"/>
          <w:bCs/>
        </w:rPr>
        <w:t>、基金份额持有人行使提议权、召集权、提名权所需单独或合计代表相关基金份额</w:t>
      </w:r>
      <w:r>
        <w:rPr>
          <w:rFonts w:hint="eastAsia"/>
          <w:bCs/>
        </w:rPr>
        <w:t>10%</w:t>
      </w:r>
      <w:r>
        <w:rPr>
          <w:rFonts w:hint="eastAsia"/>
          <w:bCs/>
        </w:rPr>
        <w:t>以上（含</w:t>
      </w:r>
      <w:r>
        <w:rPr>
          <w:rFonts w:hint="eastAsia"/>
          <w:bCs/>
        </w:rPr>
        <w:t>10%</w:t>
      </w:r>
      <w:r>
        <w:rPr>
          <w:rFonts w:hint="eastAsia"/>
          <w:bCs/>
        </w:rPr>
        <w:t>）；</w:t>
      </w:r>
    </w:p>
    <w:p w:rsidR="00822B64" w:rsidRDefault="00E92BF7">
      <w:pPr>
        <w:snapToGrid w:val="0"/>
        <w:spacing w:line="360" w:lineRule="auto"/>
        <w:ind w:firstLineChars="200" w:firstLine="420"/>
        <w:rPr>
          <w:bCs/>
        </w:rPr>
      </w:pPr>
      <w:r>
        <w:rPr>
          <w:rFonts w:hint="eastAsia"/>
          <w:bCs/>
        </w:rPr>
        <w:t>2</w:t>
      </w:r>
      <w:r>
        <w:rPr>
          <w:rFonts w:hint="eastAsia"/>
          <w:bCs/>
        </w:rPr>
        <w:t>、现场开会的到会者在权益登记日代表的基金份额不少于本基金在权益登记日相关基金份额的二分之一（含二分之一）；</w:t>
      </w:r>
    </w:p>
    <w:p w:rsidR="00822B64" w:rsidRDefault="00E92BF7">
      <w:pPr>
        <w:snapToGrid w:val="0"/>
        <w:spacing w:line="360" w:lineRule="auto"/>
        <w:ind w:firstLineChars="200" w:firstLine="420"/>
        <w:rPr>
          <w:bCs/>
        </w:rPr>
      </w:pPr>
      <w:r>
        <w:rPr>
          <w:rFonts w:hint="eastAsia"/>
          <w:bCs/>
        </w:rPr>
        <w:t>3</w:t>
      </w:r>
      <w:r>
        <w:rPr>
          <w:rFonts w:hint="eastAsia"/>
          <w:bCs/>
        </w:rPr>
        <w:t>、通讯开会的直接出具书面意见或授权他人代表出具书面意见的基金份额持有人所持有的基金份额不小于在权益登记日相关基金份额的二分之一（含二分之一）；</w:t>
      </w:r>
    </w:p>
    <w:p w:rsidR="00822B64" w:rsidRDefault="00E92BF7">
      <w:pPr>
        <w:snapToGrid w:val="0"/>
        <w:spacing w:line="360" w:lineRule="auto"/>
        <w:ind w:firstLineChars="200" w:firstLine="420"/>
        <w:rPr>
          <w:bCs/>
        </w:rPr>
      </w:pPr>
      <w:r>
        <w:rPr>
          <w:rFonts w:hint="eastAsia"/>
          <w:bCs/>
        </w:rPr>
        <w:t>4</w:t>
      </w:r>
      <w:r>
        <w:rPr>
          <w:rFonts w:hint="eastAsia"/>
          <w:bCs/>
        </w:rPr>
        <w:t>、在参与基金份额持有人大会投票的基金份额持有人所持有的基金份额小于在权益登记日相关基金份额的二分之一、召集人在原公告的基金份额持有人大会召开时间的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个月以内就原定审议事项重新召集的基金份额持有人大会应当有代表三分之一以上（含三分之一）相关基金份额的持有人参与或授权他人参与基金份额持有人大会投票；</w:t>
      </w:r>
    </w:p>
    <w:p w:rsidR="00822B64" w:rsidRDefault="00E92BF7">
      <w:pPr>
        <w:snapToGrid w:val="0"/>
        <w:spacing w:line="360" w:lineRule="auto"/>
        <w:ind w:firstLineChars="200" w:firstLine="420"/>
        <w:rPr>
          <w:bCs/>
        </w:rPr>
      </w:pPr>
      <w:r>
        <w:rPr>
          <w:rFonts w:hint="eastAsia"/>
          <w:bCs/>
        </w:rPr>
        <w:t>5</w:t>
      </w:r>
      <w:r>
        <w:rPr>
          <w:rFonts w:hint="eastAsia"/>
          <w:bCs/>
        </w:rPr>
        <w:t>、现场开会由出席大会的基金份额持有人和代理人所持表决权的</w:t>
      </w:r>
      <w:r>
        <w:rPr>
          <w:rFonts w:hint="eastAsia"/>
          <w:bCs/>
        </w:rPr>
        <w:t>50%</w:t>
      </w:r>
      <w:r>
        <w:rPr>
          <w:rFonts w:hint="eastAsia"/>
          <w:bCs/>
        </w:rPr>
        <w:t>以上（含</w:t>
      </w:r>
      <w:r>
        <w:rPr>
          <w:rFonts w:hint="eastAsia"/>
          <w:bCs/>
        </w:rPr>
        <w:t>50%</w:t>
      </w:r>
      <w:r>
        <w:rPr>
          <w:rFonts w:hint="eastAsia"/>
          <w:bCs/>
        </w:rPr>
        <w:t>）选举产生一名基金份额持有人作为该次基金份额持有人大会的主持人；</w:t>
      </w:r>
    </w:p>
    <w:p w:rsidR="00822B64" w:rsidRDefault="00E92BF7">
      <w:pPr>
        <w:snapToGrid w:val="0"/>
        <w:spacing w:line="360" w:lineRule="auto"/>
        <w:ind w:firstLineChars="200" w:firstLine="420"/>
        <w:rPr>
          <w:bCs/>
        </w:rPr>
      </w:pPr>
      <w:r>
        <w:rPr>
          <w:rFonts w:hint="eastAsia"/>
          <w:bCs/>
        </w:rPr>
        <w:lastRenderedPageBreak/>
        <w:t>6</w:t>
      </w:r>
      <w:r>
        <w:rPr>
          <w:rFonts w:hint="eastAsia"/>
          <w:bCs/>
        </w:rPr>
        <w:t>、一般决议须经参加大会的基金份额持有人或其代理人所持表决权的二分之一以上（含二分之一）通过；</w:t>
      </w:r>
    </w:p>
    <w:p w:rsidR="00822B64" w:rsidRDefault="00E92BF7">
      <w:pPr>
        <w:snapToGrid w:val="0"/>
        <w:spacing w:line="360" w:lineRule="auto"/>
        <w:ind w:firstLineChars="200" w:firstLine="420"/>
        <w:rPr>
          <w:bCs/>
        </w:rPr>
      </w:pPr>
      <w:r>
        <w:rPr>
          <w:rFonts w:hint="eastAsia"/>
          <w:bCs/>
        </w:rPr>
        <w:t>7</w:t>
      </w:r>
      <w:r>
        <w:rPr>
          <w:rFonts w:hint="eastAsia"/>
          <w:bCs/>
        </w:rPr>
        <w:t>、特别决议应当经参加大会的基金份额持有人或其代理人所持表决权的三分之二以上（含三分之二）通过。</w:t>
      </w:r>
    </w:p>
    <w:p w:rsidR="00822B64" w:rsidRDefault="00E92BF7">
      <w:pPr>
        <w:snapToGrid w:val="0"/>
        <w:spacing w:line="360" w:lineRule="auto"/>
        <w:ind w:firstLineChars="200" w:firstLine="420"/>
        <w:rPr>
          <w:bCs/>
        </w:rPr>
      </w:pPr>
      <w:r>
        <w:rPr>
          <w:rFonts w:hint="eastAsia"/>
          <w:bCs/>
        </w:rPr>
        <w:t>同一主侧袋账户内的每份基金份额具有平等的表决权。</w:t>
      </w:r>
      <w:bookmarkEnd w:id="335"/>
    </w:p>
    <w:p w:rsidR="00822B64" w:rsidRDefault="00E92BF7">
      <w:pPr>
        <w:snapToGrid w:val="0"/>
        <w:spacing w:line="360" w:lineRule="auto"/>
        <w:ind w:firstLineChars="200" w:firstLine="420"/>
        <w:rPr>
          <w:b/>
          <w:bCs/>
        </w:rPr>
      </w:pPr>
      <w:r>
        <w:rPr>
          <w:rFonts w:hint="eastAsia"/>
          <w:bCs/>
        </w:rPr>
        <w:t>（十）本部分关于基金份额持有人大会召开事由、召开条件、议事程序、表决条件等规定，凡是直接引用法律法规或监管规则的部分，如将来法律法规或监管规则修改导致相关内容被取消或变更的，基金管理人与基金托管人协商一致并提前公告后，可直接对本部分内容进行修改和调整，无需召开基金份额持有人大会审议。</w:t>
      </w:r>
    </w:p>
    <w:p w:rsidR="00822B64" w:rsidRDefault="00822B64">
      <w:pPr>
        <w:snapToGrid w:val="0"/>
        <w:spacing w:line="360" w:lineRule="auto"/>
        <w:ind w:firstLineChars="200" w:firstLine="420"/>
        <w:rPr>
          <w:bCs/>
        </w:rPr>
      </w:pPr>
    </w:p>
    <w:p w:rsidR="00822B64" w:rsidRDefault="00E92BF7">
      <w:pPr>
        <w:snapToGrid w:val="0"/>
        <w:spacing w:line="360" w:lineRule="auto"/>
        <w:ind w:firstLineChars="200" w:firstLine="420"/>
        <w:rPr>
          <w:bCs/>
        </w:rPr>
      </w:pPr>
      <w:r>
        <w:rPr>
          <w:rFonts w:hint="eastAsia"/>
          <w:bCs/>
        </w:rPr>
        <w:t>三、</w:t>
      </w:r>
      <w:bookmarkStart w:id="336" w:name="_Hlt88825574"/>
      <w:bookmarkEnd w:id="336"/>
      <w:r>
        <w:rPr>
          <w:rFonts w:hint="eastAsia"/>
          <w:bCs/>
        </w:rPr>
        <w:t>基金合同变更、终止与基金财产的清算</w:t>
      </w:r>
    </w:p>
    <w:p w:rsidR="00822B64" w:rsidRDefault="00E92BF7">
      <w:pPr>
        <w:snapToGrid w:val="0"/>
        <w:spacing w:line="360" w:lineRule="auto"/>
        <w:ind w:firstLineChars="200" w:firstLine="420"/>
        <w:rPr>
          <w:bCs/>
        </w:rPr>
      </w:pPr>
      <w:r>
        <w:rPr>
          <w:rFonts w:hint="eastAsia"/>
          <w:bCs/>
        </w:rPr>
        <w:t>（一）《基金合同》的变更</w:t>
      </w:r>
    </w:p>
    <w:p w:rsidR="00822B64" w:rsidRDefault="00E92BF7">
      <w:pPr>
        <w:snapToGrid w:val="0"/>
        <w:spacing w:line="360" w:lineRule="auto"/>
        <w:ind w:firstLineChars="200" w:firstLine="420"/>
        <w:rPr>
          <w:bCs/>
        </w:rPr>
      </w:pPr>
      <w:r>
        <w:rPr>
          <w:bCs/>
        </w:rPr>
        <w:t>1</w:t>
      </w:r>
      <w:r>
        <w:rPr>
          <w:bCs/>
        </w:rPr>
        <w:t>、变更基金合同</w:t>
      </w:r>
      <w:r>
        <w:rPr>
          <w:rFonts w:hint="eastAsia"/>
          <w:bCs/>
        </w:rPr>
        <w:t>涉及</w:t>
      </w:r>
      <w:r>
        <w:rPr>
          <w:bCs/>
        </w:rPr>
        <w:t>法律法规规定或本</w:t>
      </w:r>
      <w:r>
        <w:rPr>
          <w:rFonts w:hint="eastAsia"/>
          <w:bCs/>
        </w:rPr>
        <w:t>基金</w:t>
      </w:r>
      <w:r>
        <w:rPr>
          <w:bCs/>
        </w:rPr>
        <w:t>合同约定应经基金份额持有人大会决议通过的事项的，应召开基金份额持有人大会决议通过。对于</w:t>
      </w:r>
      <w:r>
        <w:rPr>
          <w:rFonts w:hint="eastAsia"/>
          <w:bCs/>
        </w:rPr>
        <w:t>法律法规规定和《基金合同》约定</w:t>
      </w:r>
      <w:r>
        <w:rPr>
          <w:bCs/>
        </w:rPr>
        <w:t>可不经基金份额持有人大会决议通过的事项，由基金管理人和基金托管人同意后变更并公告，并报中国证监会备案。</w:t>
      </w:r>
    </w:p>
    <w:p w:rsidR="00822B64" w:rsidRDefault="00E92BF7">
      <w:pPr>
        <w:snapToGrid w:val="0"/>
        <w:spacing w:line="360" w:lineRule="auto"/>
        <w:ind w:firstLineChars="200" w:firstLine="420"/>
        <w:rPr>
          <w:bCs/>
        </w:rPr>
      </w:pPr>
      <w:r>
        <w:rPr>
          <w:bCs/>
        </w:rPr>
        <w:t>2</w:t>
      </w:r>
      <w:r>
        <w:rPr>
          <w:bCs/>
        </w:rPr>
        <w:t>、关于《基金合同》变更的基金份额持有人大会决议</w:t>
      </w:r>
      <w:r>
        <w:rPr>
          <w:rFonts w:hint="eastAsia"/>
          <w:bCs/>
        </w:rPr>
        <w:t>，自</w:t>
      </w:r>
      <w:r>
        <w:rPr>
          <w:bCs/>
        </w:rPr>
        <w:t>生效后方可执行，自决议生效后</w:t>
      </w:r>
      <w:r>
        <w:rPr>
          <w:rFonts w:hint="eastAsia"/>
          <w:bCs/>
        </w:rPr>
        <w:t>两</w:t>
      </w:r>
      <w:r>
        <w:rPr>
          <w:bCs/>
        </w:rPr>
        <w:t>日内在规定媒介公告。</w:t>
      </w:r>
    </w:p>
    <w:p w:rsidR="00822B64" w:rsidRDefault="00E92BF7">
      <w:pPr>
        <w:snapToGrid w:val="0"/>
        <w:spacing w:line="360" w:lineRule="auto"/>
        <w:ind w:firstLineChars="200" w:firstLine="420"/>
        <w:rPr>
          <w:bCs/>
        </w:rPr>
      </w:pPr>
      <w:r>
        <w:rPr>
          <w:rFonts w:hint="eastAsia"/>
          <w:bCs/>
        </w:rPr>
        <w:t>（二）《基金合同》的终止事由</w:t>
      </w:r>
    </w:p>
    <w:p w:rsidR="00822B64" w:rsidRDefault="00E92BF7">
      <w:pPr>
        <w:snapToGrid w:val="0"/>
        <w:spacing w:line="360" w:lineRule="auto"/>
        <w:ind w:firstLineChars="200" w:firstLine="420"/>
        <w:rPr>
          <w:bCs/>
        </w:rPr>
      </w:pPr>
      <w:r>
        <w:rPr>
          <w:bCs/>
        </w:rPr>
        <w:t>有下列情形之一的，</w:t>
      </w:r>
      <w:r>
        <w:rPr>
          <w:rFonts w:hint="eastAsia"/>
          <w:bCs/>
        </w:rPr>
        <w:t>经履行相关程序后，</w:t>
      </w:r>
      <w:r>
        <w:rPr>
          <w:bCs/>
        </w:rPr>
        <w:t>《基金合同》应当终止：</w:t>
      </w:r>
    </w:p>
    <w:p w:rsidR="00822B64" w:rsidRDefault="00E92BF7">
      <w:pPr>
        <w:snapToGrid w:val="0"/>
        <w:spacing w:line="360" w:lineRule="auto"/>
        <w:ind w:firstLineChars="200" w:firstLine="420"/>
        <w:rPr>
          <w:bCs/>
        </w:rPr>
      </w:pPr>
      <w:r>
        <w:rPr>
          <w:rFonts w:hint="eastAsia"/>
          <w:bCs/>
        </w:rPr>
        <w:t>1</w:t>
      </w:r>
      <w:r>
        <w:rPr>
          <w:rFonts w:hint="eastAsia"/>
          <w:bCs/>
        </w:rPr>
        <w:t>、基金份额持有人大会决定终止的；</w:t>
      </w:r>
    </w:p>
    <w:p w:rsidR="00822B64" w:rsidRDefault="00E92BF7">
      <w:pPr>
        <w:snapToGrid w:val="0"/>
        <w:spacing w:line="360" w:lineRule="auto"/>
        <w:ind w:firstLineChars="200" w:firstLine="420"/>
        <w:rPr>
          <w:bCs/>
        </w:rPr>
      </w:pPr>
      <w:r>
        <w:rPr>
          <w:rFonts w:hint="eastAsia"/>
          <w:bCs/>
        </w:rPr>
        <w:t>2</w:t>
      </w:r>
      <w:r>
        <w:rPr>
          <w:rFonts w:hint="eastAsia"/>
          <w:bCs/>
        </w:rPr>
        <w:t>、基金管理人、基金托管人职责终止，在</w:t>
      </w:r>
      <w:r>
        <w:rPr>
          <w:rFonts w:hint="eastAsia"/>
          <w:bCs/>
        </w:rPr>
        <w:t>6</w:t>
      </w:r>
      <w:r>
        <w:rPr>
          <w:rFonts w:hint="eastAsia"/>
          <w:bCs/>
        </w:rPr>
        <w:t>个月内没有新基金管理人、新基金托管人承接的；</w:t>
      </w:r>
    </w:p>
    <w:p w:rsidR="00822B64" w:rsidRDefault="00E92BF7">
      <w:pPr>
        <w:snapToGrid w:val="0"/>
        <w:spacing w:line="360" w:lineRule="auto"/>
        <w:ind w:firstLineChars="200" w:firstLine="420"/>
        <w:rPr>
          <w:bCs/>
        </w:rPr>
      </w:pPr>
      <w:r>
        <w:rPr>
          <w:rFonts w:hint="eastAsia"/>
          <w:bCs/>
        </w:rPr>
        <w:t>3</w:t>
      </w:r>
      <w:r>
        <w:rPr>
          <w:rFonts w:hint="eastAsia"/>
          <w:bCs/>
        </w:rPr>
        <w:t>、《基金合同》约定的其他情形；</w:t>
      </w:r>
    </w:p>
    <w:p w:rsidR="00822B64" w:rsidRDefault="00E92BF7">
      <w:pPr>
        <w:snapToGrid w:val="0"/>
        <w:spacing w:line="360" w:lineRule="auto"/>
        <w:ind w:firstLineChars="200" w:firstLine="420"/>
        <w:rPr>
          <w:bCs/>
        </w:rPr>
      </w:pPr>
      <w:r>
        <w:rPr>
          <w:rFonts w:hint="eastAsia"/>
          <w:bCs/>
        </w:rPr>
        <w:t>4</w:t>
      </w:r>
      <w:r>
        <w:rPr>
          <w:rFonts w:hint="eastAsia"/>
          <w:bCs/>
        </w:rPr>
        <w:t>、相关法律法规和中国证监会规定的其他情况。</w:t>
      </w:r>
    </w:p>
    <w:p w:rsidR="00822B64" w:rsidRDefault="00E92BF7">
      <w:pPr>
        <w:snapToGrid w:val="0"/>
        <w:spacing w:line="360" w:lineRule="auto"/>
        <w:ind w:firstLineChars="200" w:firstLine="420"/>
        <w:rPr>
          <w:bCs/>
        </w:rPr>
      </w:pPr>
      <w:r>
        <w:rPr>
          <w:rFonts w:hint="eastAsia"/>
          <w:bCs/>
        </w:rPr>
        <w:t>（三）基金财产的清算</w:t>
      </w:r>
    </w:p>
    <w:p w:rsidR="00822B64" w:rsidRDefault="00E92BF7">
      <w:pPr>
        <w:snapToGrid w:val="0"/>
        <w:spacing w:line="360" w:lineRule="auto"/>
        <w:ind w:firstLineChars="200" w:firstLine="420"/>
        <w:rPr>
          <w:bCs/>
        </w:rPr>
      </w:pPr>
      <w:r>
        <w:rPr>
          <w:rFonts w:hint="eastAsia"/>
          <w:bCs/>
        </w:rPr>
        <w:t>1</w:t>
      </w:r>
      <w:r>
        <w:rPr>
          <w:rFonts w:hint="eastAsia"/>
          <w:bCs/>
        </w:rPr>
        <w:t>、基金财产清算小组：自出现基金合同终止事由之日起</w:t>
      </w:r>
      <w:r>
        <w:rPr>
          <w:rFonts w:hint="eastAsia"/>
          <w:bCs/>
        </w:rPr>
        <w:t>30</w:t>
      </w:r>
      <w:r>
        <w:rPr>
          <w:rFonts w:hint="eastAsia"/>
          <w:bCs/>
        </w:rPr>
        <w:t>个工作日内成立基金财产清算小组，基金管理人组织基金财产清算小组并在中国证监会的监督下进行基金清算。</w:t>
      </w:r>
    </w:p>
    <w:p w:rsidR="00822B64" w:rsidRDefault="00E92BF7">
      <w:pPr>
        <w:snapToGrid w:val="0"/>
        <w:spacing w:line="360" w:lineRule="auto"/>
        <w:ind w:firstLineChars="200" w:firstLine="420"/>
        <w:rPr>
          <w:bCs/>
        </w:rPr>
      </w:pPr>
      <w:r>
        <w:rPr>
          <w:rFonts w:hint="eastAsia"/>
          <w:bCs/>
        </w:rPr>
        <w:t>2</w:t>
      </w:r>
      <w:r>
        <w:rPr>
          <w:rFonts w:hint="eastAsia"/>
          <w:bCs/>
        </w:rPr>
        <w:t>、基金财产清算小组组成：基金财产清算小组成员由基金管理人、基金托管人、符合《中华人民共和国证券法》规定的注册会计师、律师以及中国证监会指定的人员组成。基金财产清算小组可以聘用必要的工作人员。</w:t>
      </w:r>
    </w:p>
    <w:p w:rsidR="00822B64" w:rsidRDefault="00E92BF7">
      <w:pPr>
        <w:snapToGrid w:val="0"/>
        <w:spacing w:line="360" w:lineRule="auto"/>
        <w:ind w:firstLineChars="200" w:firstLine="420"/>
        <w:rPr>
          <w:bCs/>
        </w:rPr>
      </w:pPr>
      <w:r>
        <w:rPr>
          <w:rFonts w:hint="eastAsia"/>
          <w:bCs/>
        </w:rPr>
        <w:t>3</w:t>
      </w:r>
      <w:r>
        <w:rPr>
          <w:rFonts w:hint="eastAsia"/>
          <w:bCs/>
        </w:rPr>
        <w:t>、基金财产清算小组职责：基金财产清算小组负责基金财产的保管、清理、估价、变现和分配。基金财产清算小组可以依法进行必要的民事活动。</w:t>
      </w:r>
    </w:p>
    <w:p w:rsidR="00822B64" w:rsidRDefault="00E92BF7">
      <w:pPr>
        <w:snapToGrid w:val="0"/>
        <w:spacing w:line="360" w:lineRule="auto"/>
        <w:ind w:firstLineChars="200" w:firstLine="420"/>
        <w:rPr>
          <w:bCs/>
        </w:rPr>
      </w:pPr>
      <w:r>
        <w:rPr>
          <w:rFonts w:hint="eastAsia"/>
          <w:bCs/>
        </w:rPr>
        <w:t>4</w:t>
      </w:r>
      <w:r>
        <w:rPr>
          <w:rFonts w:hint="eastAsia"/>
          <w:bCs/>
        </w:rPr>
        <w:t>、基金财产清算程序：</w:t>
      </w:r>
    </w:p>
    <w:p w:rsidR="00822B64" w:rsidRDefault="00E92BF7">
      <w:pPr>
        <w:snapToGrid w:val="0"/>
        <w:spacing w:line="360" w:lineRule="auto"/>
        <w:ind w:firstLineChars="200" w:firstLine="420"/>
        <w:rPr>
          <w:bCs/>
        </w:rPr>
      </w:pPr>
      <w:r>
        <w:rPr>
          <w:rFonts w:hint="eastAsia"/>
          <w:bCs/>
        </w:rPr>
        <w:lastRenderedPageBreak/>
        <w:t>（</w:t>
      </w:r>
      <w:r>
        <w:rPr>
          <w:rFonts w:hint="eastAsia"/>
          <w:bCs/>
        </w:rPr>
        <w:t>1</w:t>
      </w:r>
      <w:r>
        <w:rPr>
          <w:rFonts w:hint="eastAsia"/>
          <w:bCs/>
        </w:rPr>
        <w:t>）《基金合同》终止情形出现时，由基金财产清算小组统一接管基金财产；</w:t>
      </w:r>
    </w:p>
    <w:p w:rsidR="00822B64" w:rsidRDefault="00E92BF7">
      <w:pPr>
        <w:snapToGrid w:val="0"/>
        <w:spacing w:line="360" w:lineRule="auto"/>
        <w:ind w:firstLineChars="200" w:firstLine="420"/>
        <w:rPr>
          <w:bCs/>
        </w:rPr>
      </w:pPr>
      <w:r>
        <w:rPr>
          <w:rFonts w:hint="eastAsia"/>
          <w:bCs/>
        </w:rPr>
        <w:t>（</w:t>
      </w:r>
      <w:r>
        <w:rPr>
          <w:rFonts w:hint="eastAsia"/>
          <w:bCs/>
        </w:rPr>
        <w:t>2</w:t>
      </w:r>
      <w:r>
        <w:rPr>
          <w:rFonts w:hint="eastAsia"/>
          <w:bCs/>
        </w:rPr>
        <w:t>）对基金财产和债权债务进行清理和确认；</w:t>
      </w:r>
    </w:p>
    <w:p w:rsidR="00822B64" w:rsidRDefault="00E92BF7">
      <w:pPr>
        <w:snapToGrid w:val="0"/>
        <w:spacing w:line="360" w:lineRule="auto"/>
        <w:ind w:firstLineChars="200" w:firstLine="420"/>
        <w:rPr>
          <w:bCs/>
        </w:rPr>
      </w:pPr>
      <w:r>
        <w:rPr>
          <w:rFonts w:hint="eastAsia"/>
          <w:bCs/>
        </w:rPr>
        <w:t>（</w:t>
      </w:r>
      <w:r>
        <w:rPr>
          <w:rFonts w:hint="eastAsia"/>
          <w:bCs/>
        </w:rPr>
        <w:t>3</w:t>
      </w:r>
      <w:r>
        <w:rPr>
          <w:rFonts w:hint="eastAsia"/>
          <w:bCs/>
        </w:rPr>
        <w:t>）对基金财产进行估值和变现；</w:t>
      </w:r>
    </w:p>
    <w:p w:rsidR="00822B64" w:rsidRDefault="00E92BF7">
      <w:pPr>
        <w:snapToGrid w:val="0"/>
        <w:spacing w:line="360" w:lineRule="auto"/>
        <w:ind w:firstLineChars="200" w:firstLine="420"/>
        <w:rPr>
          <w:bCs/>
        </w:rPr>
      </w:pPr>
      <w:r>
        <w:rPr>
          <w:rFonts w:hint="eastAsia"/>
          <w:bCs/>
        </w:rPr>
        <w:t>（</w:t>
      </w:r>
      <w:r>
        <w:rPr>
          <w:rFonts w:hint="eastAsia"/>
          <w:bCs/>
        </w:rPr>
        <w:t>4</w:t>
      </w:r>
      <w:r>
        <w:rPr>
          <w:rFonts w:hint="eastAsia"/>
          <w:bCs/>
        </w:rPr>
        <w:t>）制作清算报告；</w:t>
      </w:r>
    </w:p>
    <w:p w:rsidR="00822B64" w:rsidRDefault="00E92BF7">
      <w:pPr>
        <w:snapToGrid w:val="0"/>
        <w:spacing w:line="360" w:lineRule="auto"/>
        <w:ind w:firstLineChars="200" w:firstLine="420"/>
        <w:rPr>
          <w:bCs/>
        </w:rPr>
      </w:pPr>
      <w:r>
        <w:rPr>
          <w:rFonts w:hint="eastAsia"/>
          <w:bCs/>
        </w:rPr>
        <w:t>（</w:t>
      </w:r>
      <w:r>
        <w:rPr>
          <w:rFonts w:hint="eastAsia"/>
          <w:bCs/>
        </w:rPr>
        <w:t>5</w:t>
      </w:r>
      <w:r>
        <w:rPr>
          <w:rFonts w:hint="eastAsia"/>
          <w:bCs/>
        </w:rPr>
        <w:t>）聘请会计师事务所对清算报告进行外部审计，聘请律师事务所对清算报告出具法律意见书；</w:t>
      </w:r>
    </w:p>
    <w:p w:rsidR="00822B64" w:rsidRDefault="00E92BF7">
      <w:pPr>
        <w:snapToGrid w:val="0"/>
        <w:spacing w:line="360" w:lineRule="auto"/>
        <w:ind w:firstLineChars="200" w:firstLine="420"/>
        <w:rPr>
          <w:bCs/>
        </w:rPr>
      </w:pPr>
      <w:r>
        <w:rPr>
          <w:rFonts w:hint="eastAsia"/>
          <w:bCs/>
        </w:rPr>
        <w:t>（</w:t>
      </w:r>
      <w:r>
        <w:rPr>
          <w:rFonts w:hint="eastAsia"/>
          <w:bCs/>
        </w:rPr>
        <w:t>6</w:t>
      </w:r>
      <w:r>
        <w:rPr>
          <w:rFonts w:hint="eastAsia"/>
          <w:bCs/>
        </w:rPr>
        <w:t>）将清算报告报中国证监会备案并公告；</w:t>
      </w:r>
    </w:p>
    <w:p w:rsidR="00822B64" w:rsidRDefault="00E92BF7">
      <w:pPr>
        <w:snapToGrid w:val="0"/>
        <w:spacing w:line="360" w:lineRule="auto"/>
        <w:ind w:firstLineChars="200" w:firstLine="420"/>
        <w:rPr>
          <w:bCs/>
        </w:rPr>
      </w:pPr>
      <w:r>
        <w:rPr>
          <w:rFonts w:hint="eastAsia"/>
          <w:bCs/>
        </w:rPr>
        <w:t>（</w:t>
      </w:r>
      <w:r>
        <w:rPr>
          <w:rFonts w:hint="eastAsia"/>
          <w:bCs/>
        </w:rPr>
        <w:t>7</w:t>
      </w:r>
      <w:r>
        <w:rPr>
          <w:rFonts w:hint="eastAsia"/>
          <w:bCs/>
        </w:rPr>
        <w:t>）对基金剩余财产进行分配。</w:t>
      </w:r>
    </w:p>
    <w:p w:rsidR="00822B64" w:rsidRDefault="00E92BF7">
      <w:pPr>
        <w:snapToGrid w:val="0"/>
        <w:spacing w:line="360" w:lineRule="auto"/>
        <w:ind w:firstLineChars="200" w:firstLine="420"/>
        <w:rPr>
          <w:bCs/>
        </w:rPr>
      </w:pPr>
      <w:r>
        <w:rPr>
          <w:rFonts w:hint="eastAsia"/>
          <w:bCs/>
        </w:rPr>
        <w:t>5</w:t>
      </w:r>
      <w:r>
        <w:rPr>
          <w:rFonts w:hint="eastAsia"/>
          <w:bCs/>
        </w:rPr>
        <w:t>、基金财产清算的期限为</w:t>
      </w:r>
      <w:r>
        <w:rPr>
          <w:rFonts w:hint="eastAsia"/>
          <w:bCs/>
        </w:rPr>
        <w:t>6</w:t>
      </w:r>
      <w:r>
        <w:rPr>
          <w:rFonts w:hint="eastAsia"/>
          <w:bCs/>
        </w:rPr>
        <w:t>个月，但因本基金所持证券的流动性受到限制而不能及时变现的，清算期限相应顺延。</w:t>
      </w:r>
    </w:p>
    <w:p w:rsidR="00822B64" w:rsidRDefault="00E92BF7">
      <w:pPr>
        <w:snapToGrid w:val="0"/>
        <w:spacing w:line="360" w:lineRule="auto"/>
        <w:ind w:firstLineChars="200" w:firstLine="420"/>
        <w:rPr>
          <w:bCs/>
        </w:rPr>
      </w:pPr>
      <w:r>
        <w:rPr>
          <w:rFonts w:hint="eastAsia"/>
          <w:bCs/>
        </w:rPr>
        <w:t>（四）清算费用</w:t>
      </w:r>
    </w:p>
    <w:p w:rsidR="00822B64" w:rsidRDefault="00E92BF7">
      <w:pPr>
        <w:snapToGrid w:val="0"/>
        <w:spacing w:line="360" w:lineRule="auto"/>
        <w:ind w:firstLineChars="200" w:firstLine="420"/>
        <w:rPr>
          <w:bCs/>
        </w:rPr>
      </w:pPr>
      <w:r>
        <w:rPr>
          <w:rFonts w:hint="eastAsia"/>
          <w:bCs/>
        </w:rPr>
        <w:t>清算费用是指基金财产清算小组在进行基金清算过程中发生的所有合理费用，清算费用由基金财产清算小组优先从基金剩余财产中支付。</w:t>
      </w:r>
    </w:p>
    <w:p w:rsidR="00822B64" w:rsidRDefault="00E92BF7">
      <w:pPr>
        <w:snapToGrid w:val="0"/>
        <w:spacing w:line="360" w:lineRule="auto"/>
        <w:ind w:firstLineChars="200" w:firstLine="420"/>
        <w:rPr>
          <w:bCs/>
        </w:rPr>
      </w:pPr>
      <w:r>
        <w:rPr>
          <w:rFonts w:hint="eastAsia"/>
          <w:bCs/>
        </w:rPr>
        <w:t>（五）基金财产清算剩余资产的分配</w:t>
      </w:r>
    </w:p>
    <w:p w:rsidR="00822B64" w:rsidRDefault="00E92BF7">
      <w:pPr>
        <w:snapToGrid w:val="0"/>
        <w:spacing w:line="360" w:lineRule="auto"/>
        <w:ind w:firstLineChars="200" w:firstLine="420"/>
        <w:rPr>
          <w:bCs/>
        </w:rPr>
      </w:pPr>
      <w:r>
        <w:rPr>
          <w:rFonts w:hint="eastAsia"/>
          <w:bCs/>
        </w:rPr>
        <w:t>依据基金财产清算的分配方案，将基金财产清算后的全部剩余资产扣除基金财产清算费用、交纳所欠税款并清偿基金债务后，按基金份额持有人持有的基金份额比例进行分配。</w:t>
      </w:r>
    </w:p>
    <w:p w:rsidR="00822B64" w:rsidRDefault="00E92BF7">
      <w:pPr>
        <w:snapToGrid w:val="0"/>
        <w:spacing w:line="360" w:lineRule="auto"/>
        <w:ind w:firstLineChars="200" w:firstLine="420"/>
        <w:rPr>
          <w:bCs/>
        </w:rPr>
      </w:pPr>
      <w:r>
        <w:rPr>
          <w:rFonts w:hint="eastAsia"/>
          <w:bCs/>
        </w:rPr>
        <w:t>（六）基金财产清算的公告</w:t>
      </w:r>
    </w:p>
    <w:p w:rsidR="00822B64" w:rsidRDefault="00E92BF7">
      <w:pPr>
        <w:snapToGrid w:val="0"/>
        <w:spacing w:line="360" w:lineRule="auto"/>
        <w:ind w:firstLineChars="200" w:firstLine="420"/>
        <w:rPr>
          <w:bCs/>
        </w:rPr>
      </w:pPr>
      <w:r>
        <w:rPr>
          <w:rFonts w:hint="eastAsia"/>
          <w:bCs/>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hint="eastAsia"/>
          <w:bCs/>
        </w:rPr>
        <w:t>5</w:t>
      </w:r>
      <w:r>
        <w:rPr>
          <w:rFonts w:hint="eastAsia"/>
          <w:bCs/>
        </w:rPr>
        <w:t>个工作日内由基金财产清算小组进行公告，基金财产清算小组应当将清算报告登载在规定网站上，并将清算报告提示性公告登载在规定报刊上。</w:t>
      </w:r>
    </w:p>
    <w:p w:rsidR="00822B64" w:rsidRDefault="00E92BF7">
      <w:pPr>
        <w:snapToGrid w:val="0"/>
        <w:spacing w:line="360" w:lineRule="auto"/>
        <w:ind w:firstLineChars="200" w:firstLine="420"/>
        <w:rPr>
          <w:bCs/>
        </w:rPr>
      </w:pPr>
      <w:r>
        <w:rPr>
          <w:rFonts w:hint="eastAsia"/>
          <w:bCs/>
        </w:rPr>
        <w:t>（七）基金财产清算账册及文件的保存</w:t>
      </w:r>
    </w:p>
    <w:p w:rsidR="00822B64" w:rsidRDefault="00E92BF7">
      <w:pPr>
        <w:snapToGrid w:val="0"/>
        <w:spacing w:line="360" w:lineRule="auto"/>
        <w:ind w:firstLineChars="200" w:firstLine="420"/>
        <w:rPr>
          <w:bCs/>
        </w:rPr>
      </w:pPr>
      <w:r>
        <w:rPr>
          <w:rFonts w:hint="eastAsia"/>
          <w:bCs/>
        </w:rPr>
        <w:t>基金财产清算账册及有关文件由基金托管人保存期限不低于法律法规规定的最低期限。</w:t>
      </w:r>
    </w:p>
    <w:p w:rsidR="00822B64" w:rsidRDefault="00822B64">
      <w:pPr>
        <w:snapToGrid w:val="0"/>
        <w:spacing w:line="360" w:lineRule="auto"/>
        <w:ind w:firstLineChars="200" w:firstLine="420"/>
        <w:rPr>
          <w:bCs/>
        </w:rPr>
      </w:pPr>
    </w:p>
    <w:p w:rsidR="00822B64" w:rsidRDefault="00E92BF7">
      <w:pPr>
        <w:snapToGrid w:val="0"/>
        <w:spacing w:line="360" w:lineRule="auto"/>
        <w:ind w:firstLineChars="200" w:firstLine="420"/>
        <w:rPr>
          <w:bCs/>
        </w:rPr>
      </w:pPr>
      <w:r>
        <w:rPr>
          <w:rFonts w:hint="eastAsia"/>
          <w:bCs/>
        </w:rPr>
        <w:t>四、争议</w:t>
      </w:r>
      <w:r>
        <w:rPr>
          <w:rFonts w:ascii="宋体" w:hAnsi="宋体" w:hint="eastAsia"/>
          <w:sz w:val="22"/>
          <w:lang w:val="zh-CN"/>
        </w:rPr>
        <w:t>的处理和适用的法律</w:t>
      </w:r>
    </w:p>
    <w:p w:rsidR="00822B64" w:rsidRDefault="00E92BF7">
      <w:pPr>
        <w:snapToGrid w:val="0"/>
        <w:spacing w:line="360" w:lineRule="auto"/>
        <w:ind w:firstLineChars="200" w:firstLine="420"/>
        <w:rPr>
          <w:bCs/>
        </w:rPr>
      </w:pPr>
      <w:r>
        <w:rPr>
          <w:bCs/>
        </w:rPr>
        <w:t>各方当事人同意，因《基金合同》而产生的或与《基金合同》有关的一切争议，如经友好协商未能解决的，</w:t>
      </w:r>
      <w:r>
        <w:rPr>
          <w:rFonts w:hint="eastAsia"/>
          <w:bCs/>
        </w:rPr>
        <w:t>任何一方均有权将争议提交上海国际经济贸易仲裁委员会，按照该会届时有效的仲裁规则进行仲裁。仲裁地点为上海市。仲裁裁决是终局的，对各方当事人均有约束力，仲裁费用由败诉方承担。</w:t>
      </w:r>
    </w:p>
    <w:p w:rsidR="00822B64" w:rsidRDefault="00E92BF7">
      <w:pPr>
        <w:snapToGrid w:val="0"/>
        <w:spacing w:line="360" w:lineRule="auto"/>
        <w:ind w:firstLineChars="200" w:firstLine="420"/>
        <w:rPr>
          <w:bCs/>
        </w:rPr>
      </w:pPr>
      <w:r>
        <w:rPr>
          <w:rFonts w:hint="eastAsia"/>
          <w:bCs/>
        </w:rPr>
        <w:t>争议处理期间，基金合同当事人应恪守各自的职责，继续忠实、勤勉、尽责地履行基金合同规定的义务，维护基金份额持有人的合法权益。</w:t>
      </w:r>
    </w:p>
    <w:p w:rsidR="00822B64" w:rsidRDefault="00E92BF7">
      <w:pPr>
        <w:snapToGrid w:val="0"/>
        <w:spacing w:line="360" w:lineRule="auto"/>
        <w:ind w:firstLineChars="200" w:firstLine="420"/>
        <w:rPr>
          <w:bCs/>
        </w:rPr>
      </w:pPr>
      <w:r>
        <w:rPr>
          <w:bCs/>
        </w:rPr>
        <w:t>《基金合同》受中国法律管辖。</w:t>
      </w:r>
    </w:p>
    <w:p w:rsidR="00822B64" w:rsidRDefault="00822B64">
      <w:pPr>
        <w:snapToGrid w:val="0"/>
        <w:spacing w:line="360" w:lineRule="auto"/>
        <w:ind w:firstLineChars="200" w:firstLine="422"/>
        <w:rPr>
          <w:b/>
          <w:bCs/>
        </w:rPr>
      </w:pPr>
    </w:p>
    <w:p w:rsidR="00822B64" w:rsidRDefault="00E92BF7">
      <w:pPr>
        <w:snapToGrid w:val="0"/>
        <w:spacing w:line="360" w:lineRule="auto"/>
        <w:ind w:firstLineChars="200" w:firstLine="420"/>
        <w:rPr>
          <w:bCs/>
        </w:rPr>
      </w:pPr>
      <w:r>
        <w:rPr>
          <w:rFonts w:hint="eastAsia"/>
          <w:bCs/>
        </w:rPr>
        <w:lastRenderedPageBreak/>
        <w:t>五、基金合同的存放地和投资者取得基金合同的方式</w:t>
      </w:r>
    </w:p>
    <w:p w:rsidR="00822B64" w:rsidRDefault="00E92BF7">
      <w:pPr>
        <w:snapToGrid w:val="0"/>
        <w:spacing w:line="360" w:lineRule="auto"/>
        <w:ind w:firstLineChars="200" w:firstLine="420"/>
        <w:rPr>
          <w:bCs/>
        </w:rPr>
      </w:pPr>
      <w:r>
        <w:rPr>
          <w:rFonts w:hint="eastAsia"/>
          <w:bCs/>
        </w:rPr>
        <w:t>《基金合同》正本一式陆份，除上报有关监管机构一式贰份外，基金管理人、基金托管人各持有贰份，每份具有同等的法律效力。</w:t>
      </w:r>
    </w:p>
    <w:p w:rsidR="00822B64" w:rsidRDefault="00E92BF7">
      <w:pPr>
        <w:snapToGrid w:val="0"/>
        <w:spacing w:line="360" w:lineRule="auto"/>
        <w:ind w:firstLineChars="200" w:firstLine="420"/>
      </w:pPr>
      <w:r>
        <w:rPr>
          <w:rFonts w:hint="eastAsia"/>
          <w:bCs/>
        </w:rPr>
        <w:t>《基金合同》可印制成册，供投资者在基金管理人、基金托管人、销售机构的办公场所和营业场所查阅。</w:t>
      </w:r>
    </w:p>
    <w:p w:rsidR="00822B64" w:rsidRDefault="00822B64">
      <w:pPr>
        <w:snapToGrid w:val="0"/>
        <w:spacing w:line="360" w:lineRule="auto"/>
        <w:ind w:firstLineChars="200" w:firstLine="420"/>
      </w:pPr>
    </w:p>
    <w:p w:rsidR="00822B64" w:rsidRDefault="00E92BF7">
      <w:pPr>
        <w:snapToGrid w:val="0"/>
        <w:spacing w:line="360" w:lineRule="auto"/>
        <w:ind w:firstLineChars="200" w:firstLine="480"/>
        <w:rPr>
          <w:rFonts w:ascii="宋体" w:hAnsi="宋体"/>
        </w:rPr>
      </w:pPr>
      <w:r>
        <w:rPr>
          <w:rFonts w:ascii="宋体" w:hAnsi="宋体"/>
          <w:kern w:val="0"/>
          <w:sz w:val="24"/>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37" w:name="_Toc362533468"/>
      <w:bookmarkStart w:id="338" w:name="_Toc360794529"/>
      <w:bookmarkStart w:id="339" w:name="_Toc360793863"/>
      <w:bookmarkStart w:id="340" w:name="_Toc362455196"/>
      <w:bookmarkStart w:id="341" w:name="_Toc360794113"/>
      <w:bookmarkStart w:id="342" w:name="_Toc360793511"/>
      <w:bookmarkStart w:id="343" w:name="_Toc48808898"/>
      <w:bookmarkStart w:id="344" w:name="_Toc360794421"/>
      <w:r>
        <w:rPr>
          <w:rFonts w:ascii="宋体" w:eastAsia="宋体" w:hAnsi="宋体" w:hint="eastAsia"/>
        </w:rPr>
        <w:lastRenderedPageBreak/>
        <w:t>基金托管协议的内容摘要</w:t>
      </w:r>
      <w:bookmarkEnd w:id="337"/>
      <w:bookmarkEnd w:id="338"/>
      <w:bookmarkEnd w:id="339"/>
      <w:bookmarkEnd w:id="340"/>
      <w:bookmarkEnd w:id="341"/>
      <w:bookmarkEnd w:id="342"/>
      <w:bookmarkEnd w:id="343"/>
      <w:bookmarkEnd w:id="344"/>
    </w:p>
    <w:p w:rsidR="00822B64" w:rsidRDefault="00822B64">
      <w:pPr>
        <w:pStyle w:val="afffb"/>
        <w:adjustRightInd w:val="0"/>
        <w:snapToGrid w:val="0"/>
        <w:spacing w:line="360" w:lineRule="auto"/>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一、基金托管协议当事人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（一）基金管理人</w:t>
      </w:r>
    </w:p>
    <w:p w:rsidR="00822B64" w:rsidRDefault="00E92BF7">
      <w:pPr>
        <w:snapToGrid w:val="0"/>
        <w:spacing w:line="360" w:lineRule="auto"/>
        <w:ind w:firstLineChars="200" w:firstLine="420"/>
        <w:rPr>
          <w:rFonts w:ascii="宋体" w:hAnsi="宋体"/>
          <w:bCs/>
          <w:szCs w:val="21"/>
        </w:rPr>
      </w:pPr>
      <w:bookmarkStart w:id="345" w:name="_Toc15118236"/>
      <w:r>
        <w:rPr>
          <w:rFonts w:ascii="宋体" w:hAnsi="宋体" w:hint="eastAsia"/>
          <w:bCs/>
          <w:szCs w:val="21"/>
        </w:rPr>
        <w:t>名称：</w:t>
      </w:r>
      <w:bookmarkEnd w:id="345"/>
      <w:r>
        <w:rPr>
          <w:rFonts w:ascii="宋体" w:hAnsi="宋体" w:hint="eastAsia"/>
          <w:bCs/>
          <w:szCs w:val="21"/>
        </w:rPr>
        <w:t>东海基金管理有限责任公司</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住所：上海市虹口区丰镇路806号3幢360室</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法定代表人：严晓珺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设立日期：</w:t>
      </w:r>
      <w:r>
        <w:rPr>
          <w:rFonts w:ascii="宋体" w:hAnsi="宋体"/>
          <w:bCs/>
          <w:szCs w:val="21"/>
        </w:rPr>
        <w:t>2013</w:t>
      </w:r>
      <w:r>
        <w:rPr>
          <w:rFonts w:ascii="宋体" w:hAnsi="宋体" w:hint="eastAsia"/>
          <w:bCs/>
          <w:szCs w:val="21"/>
        </w:rPr>
        <w:t>年</w:t>
      </w:r>
      <w:r>
        <w:rPr>
          <w:rFonts w:ascii="宋体" w:hAnsi="宋体"/>
          <w:bCs/>
          <w:szCs w:val="21"/>
        </w:rPr>
        <w:t>2</w:t>
      </w:r>
      <w:r>
        <w:rPr>
          <w:rFonts w:ascii="宋体" w:hAnsi="宋体" w:hint="eastAsia"/>
          <w:bCs/>
          <w:szCs w:val="21"/>
        </w:rPr>
        <w:t>月</w:t>
      </w:r>
      <w:r>
        <w:rPr>
          <w:rFonts w:ascii="宋体" w:hAnsi="宋体"/>
          <w:bCs/>
          <w:szCs w:val="21"/>
        </w:rPr>
        <w:t>25</w:t>
      </w:r>
      <w:r>
        <w:rPr>
          <w:rFonts w:ascii="宋体" w:hAnsi="宋体" w:hint="eastAsia"/>
          <w:bCs/>
          <w:szCs w:val="21"/>
        </w:rPr>
        <w:t>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批准设立机关及批准设立文号：中国证监会《关于核准设立东海基金管理有限责任公司的批复》（证监许可[2013]179号）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组织形式：有限责任公司</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注册资本：</w:t>
      </w:r>
      <w:r>
        <w:rPr>
          <w:rFonts w:ascii="宋体" w:hAnsi="宋体"/>
          <w:bCs/>
          <w:szCs w:val="21"/>
        </w:rPr>
        <w:t>1.5</w:t>
      </w:r>
      <w:r>
        <w:rPr>
          <w:rFonts w:ascii="宋体" w:hAnsi="宋体" w:hint="eastAsia"/>
          <w:bCs/>
          <w:szCs w:val="21"/>
        </w:rPr>
        <w:t>亿元人民币</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存续期限：持续经营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联系电话：</w:t>
      </w:r>
      <w:r>
        <w:rPr>
          <w:rFonts w:ascii="宋体" w:hAnsi="宋体"/>
          <w:bCs/>
          <w:szCs w:val="21"/>
        </w:rPr>
        <w:t>021-60586900</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（二）基金托管人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名称：兴业银行股份有限公司</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注册地址：福建省福州市湖东路154号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办公地址：上海市银城路167号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邮政编码：200120</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 xml:space="preserve">法定代表人：吕家进 </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成立日期：1988年8月22日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批准设立机关和批准设立文号：中国人民银行总行，银复[1988]347号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基金托管业务批准文号：中国证监会证监基金字[2005]74号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组织形式：股份有限公司</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注册资本：207.74亿元人民币</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存续期间：持续经营</w:t>
      </w:r>
    </w:p>
    <w:p w:rsidR="00822B64" w:rsidRDefault="00E92BF7">
      <w:pPr>
        <w:snapToGrid w:val="0"/>
        <w:spacing w:line="360" w:lineRule="auto"/>
        <w:ind w:firstLineChars="200" w:firstLine="420"/>
        <w:rPr>
          <w:rFonts w:ascii="宋体" w:hAnsi="宋体"/>
          <w:bCs/>
          <w:szCs w:val="21"/>
        </w:rPr>
      </w:pPr>
      <w:r>
        <w:rPr>
          <w:rFonts w:ascii="宋体" w:hAnsi="宋体"/>
          <w:bCs/>
          <w:szCs w:val="21"/>
        </w:rPr>
        <w:t>批准设立机关和批准设立文号：</w:t>
      </w:r>
      <w:r>
        <w:rPr>
          <w:rFonts w:ascii="宋体" w:hAnsi="宋体" w:hint="eastAsia"/>
          <w:bCs/>
          <w:szCs w:val="21"/>
        </w:rPr>
        <w:t>中国人民银行总行银复〔1988〕347号</w:t>
      </w:r>
    </w:p>
    <w:p w:rsidR="00822B64" w:rsidRDefault="00E92BF7">
      <w:pPr>
        <w:snapToGrid w:val="0"/>
        <w:spacing w:line="360" w:lineRule="auto"/>
        <w:ind w:firstLineChars="200" w:firstLine="420"/>
        <w:rPr>
          <w:rFonts w:ascii="宋体" w:hAnsi="宋体"/>
          <w:bCs/>
          <w:szCs w:val="21"/>
        </w:rPr>
      </w:pPr>
      <w:r>
        <w:rPr>
          <w:rFonts w:ascii="宋体" w:hAnsi="宋体"/>
          <w:bCs/>
          <w:szCs w:val="21"/>
        </w:rPr>
        <w:t>基金托管资格批文及文号：</w:t>
      </w:r>
      <w:r>
        <w:rPr>
          <w:rFonts w:ascii="宋体" w:hAnsi="宋体" w:hint="eastAsia"/>
          <w:bCs/>
          <w:szCs w:val="21"/>
        </w:rPr>
        <w:t>中国证监会证监基金字【</w:t>
      </w:r>
      <w:r>
        <w:rPr>
          <w:rFonts w:ascii="宋体" w:hAnsi="宋体"/>
          <w:bCs/>
          <w:szCs w:val="21"/>
        </w:rPr>
        <w:t>2005</w:t>
      </w:r>
      <w:r>
        <w:rPr>
          <w:rFonts w:ascii="宋体" w:hAnsi="宋体" w:hint="eastAsia"/>
          <w:bCs/>
          <w:szCs w:val="21"/>
        </w:rPr>
        <w:t>】</w:t>
      </w:r>
      <w:r>
        <w:rPr>
          <w:rFonts w:ascii="宋体" w:hAnsi="宋体"/>
          <w:bCs/>
          <w:szCs w:val="21"/>
        </w:rPr>
        <w:t>74</w:t>
      </w:r>
      <w:r>
        <w:rPr>
          <w:rFonts w:ascii="宋体" w:hAnsi="宋体" w:hint="eastAsia"/>
          <w:bCs/>
          <w:szCs w:val="21"/>
        </w:rPr>
        <w:t>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二、基金托管人对基金管理人的业务监督和核查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（一）基金托管人根据有关法律法规的规定及基金合同的约定，对基金投资范围、投资比例进行监督。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本基金的投资范围为具有良好流动性的金融工具，包括债券</w:t>
      </w:r>
      <w:r>
        <w:rPr>
          <w:rFonts w:ascii="宋体" w:hAnsi="宋体"/>
          <w:bCs/>
          <w:szCs w:val="21"/>
        </w:rPr>
        <w:t>(</w:t>
      </w:r>
      <w:r>
        <w:rPr>
          <w:rFonts w:ascii="宋体" w:hAnsi="宋体" w:hint="eastAsia"/>
          <w:bCs/>
          <w:szCs w:val="21"/>
        </w:rPr>
        <w:t>国债、金融债、央行票据、公司债、企业债、地方政府债、次级债、可分离交易可转债的纯债部分、短期融资券、超短</w:t>
      </w:r>
      <w:r>
        <w:rPr>
          <w:rFonts w:ascii="宋体" w:hAnsi="宋体" w:hint="eastAsia"/>
          <w:bCs/>
          <w:szCs w:val="21"/>
        </w:rPr>
        <w:lastRenderedPageBreak/>
        <w:t>期融资券、中期票据</w:t>
      </w:r>
      <w:r>
        <w:rPr>
          <w:rFonts w:ascii="宋体" w:hAnsi="宋体"/>
          <w:bCs/>
          <w:szCs w:val="21"/>
        </w:rPr>
        <w:t>)</w:t>
      </w:r>
      <w:r>
        <w:rPr>
          <w:rFonts w:ascii="宋体" w:hAnsi="宋体" w:hint="eastAsia"/>
          <w:bCs/>
          <w:szCs w:val="21"/>
        </w:rPr>
        <w:t>、资产支持证券、债券回购、同业存单、银行存款</w:t>
      </w:r>
      <w:r>
        <w:rPr>
          <w:rFonts w:ascii="宋体" w:hAnsi="宋体"/>
          <w:bCs/>
          <w:szCs w:val="21"/>
        </w:rPr>
        <w:t>(</w:t>
      </w:r>
      <w:r>
        <w:rPr>
          <w:rFonts w:ascii="宋体" w:hAnsi="宋体" w:hint="eastAsia"/>
          <w:bCs/>
          <w:szCs w:val="21"/>
        </w:rPr>
        <w:t>包括协议存款、定期存款等)以及法律法规或中国证监会允许基金投资的其他金融工具</w:t>
      </w:r>
      <w:r>
        <w:rPr>
          <w:rFonts w:ascii="宋体" w:hAnsi="宋体"/>
          <w:bCs/>
          <w:szCs w:val="21"/>
        </w:rPr>
        <w:t>(</w:t>
      </w:r>
      <w:r>
        <w:rPr>
          <w:rFonts w:ascii="宋体" w:hAnsi="宋体" w:hint="eastAsia"/>
          <w:bCs/>
          <w:szCs w:val="21"/>
        </w:rPr>
        <w:t>但须符合中国证监会相关规定</w:t>
      </w:r>
      <w:r>
        <w:rPr>
          <w:rFonts w:ascii="宋体" w:hAnsi="宋体"/>
          <w:bCs/>
          <w:szCs w:val="21"/>
        </w:rPr>
        <w:t>)</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本基金不投资于股票，也不投资于可转换债券</w:t>
      </w:r>
      <w:r>
        <w:rPr>
          <w:rFonts w:ascii="宋体" w:hAnsi="宋体"/>
          <w:bCs/>
          <w:szCs w:val="21"/>
        </w:rPr>
        <w:t>（可分离交易可转债的纯债部分除外）</w:t>
      </w:r>
      <w:r>
        <w:rPr>
          <w:rFonts w:ascii="宋体" w:hAnsi="宋体" w:hint="eastAsia"/>
          <w:bCs/>
          <w:szCs w:val="21"/>
        </w:rPr>
        <w:t>和可交换债券</w:t>
      </w:r>
      <w:bookmarkStart w:id="346" w:name="_Hlk46330853"/>
      <w:r>
        <w:rPr>
          <w:rFonts w:ascii="宋体" w:hAnsi="宋体" w:hint="eastAsia"/>
          <w:bCs/>
          <w:szCs w:val="21"/>
        </w:rPr>
        <w:t>，本基金投资于信用债的评级必须在</w:t>
      </w:r>
      <w:r>
        <w:rPr>
          <w:rFonts w:ascii="宋体" w:hAnsi="宋体"/>
          <w:bCs/>
          <w:szCs w:val="21"/>
        </w:rPr>
        <w:t>AA</w:t>
      </w:r>
      <w:r>
        <w:rPr>
          <w:rFonts w:ascii="宋体" w:hAnsi="宋体" w:hint="eastAsia"/>
          <w:bCs/>
          <w:szCs w:val="21"/>
        </w:rPr>
        <w:t>（含）及以上</w:t>
      </w:r>
      <w:bookmarkEnd w:id="346"/>
      <w:r>
        <w:rPr>
          <w:rFonts w:ascii="宋体" w:hAnsi="宋体" w:hint="eastAsia"/>
          <w:bCs/>
          <w:szCs w:val="21"/>
        </w:rPr>
        <w:t>。如法律法规或监管机构</w:t>
      </w:r>
      <w:r>
        <w:rPr>
          <w:rFonts w:ascii="宋体" w:hAnsi="宋体"/>
          <w:bCs/>
          <w:szCs w:val="21"/>
        </w:rPr>
        <w:t>以</w:t>
      </w:r>
      <w:r>
        <w:rPr>
          <w:rFonts w:ascii="宋体" w:hAnsi="宋体" w:hint="eastAsia"/>
          <w:bCs/>
          <w:szCs w:val="21"/>
        </w:rPr>
        <w:t>后允许基金投资其他品种，基金管理人在履行适当程序后，可以将其纳入投资范围，并可依据届时有效的法律法规与基金托管人协商一致后适时合理地调整投资范围。</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基金投资组合资产配置比例为：本基金对债券的投资比例不低于基金资产的80%。但应开放期流动性需要，为保护基金份额持有人利益，每个开放期开始前3个月、开放期及开放期结束后3个月内，本基金的债券资产的投资比例可不受前述限制。开放期内，本基金持有现金或者到期日在一年以内的政府债券投资比例不低于基金资产净值的5%，其中现金不包括结算备付金、存出保证金和应收申购款等；封闭期内，本基金不受前述5%的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（二）基金托管人根据有关法律法规的规定及基金合同的约定，对基金投资、融资比例进行监督。基金托管人按下述比例和调整期限进行监督：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基金的投资组合应遵循以下限制：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本基金对债券的投资比例不低于基金资产的80%，但应开放期流动性需要，为保护基金份额持有人利益，在每次开放期开始前3个月、开放期及开放期结束后3个月的期间内，本基金债券资产的投资比例可不受上述比例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w:t>
      </w:r>
      <w:r>
        <w:rPr>
          <w:rFonts w:ascii="宋体" w:hAnsi="宋体" w:hint="eastAsia"/>
          <w:bCs/>
          <w:szCs w:val="21"/>
        </w:rPr>
        <w:t>）开放期内，保持不低于基金资产净值</w:t>
      </w:r>
      <w:r>
        <w:rPr>
          <w:rFonts w:ascii="宋体" w:hAnsi="宋体"/>
          <w:bCs/>
          <w:szCs w:val="21"/>
        </w:rPr>
        <w:t>5%</w:t>
      </w:r>
      <w:r>
        <w:rPr>
          <w:rFonts w:ascii="宋体" w:hAnsi="宋体" w:hint="eastAsia"/>
          <w:bCs/>
          <w:szCs w:val="21"/>
        </w:rPr>
        <w:t>的现金或者到期日在一年以内的政府债券，其中现金不包括结算备付金、存出保证金和应收申购款等；封闭期内，本基金不受上述</w:t>
      </w:r>
      <w:r>
        <w:rPr>
          <w:rFonts w:ascii="宋体" w:hAnsi="宋体"/>
          <w:bCs/>
          <w:szCs w:val="21"/>
        </w:rPr>
        <w:t>5%</w:t>
      </w:r>
      <w:r>
        <w:rPr>
          <w:rFonts w:ascii="宋体" w:hAnsi="宋体" w:hint="eastAsia"/>
          <w:bCs/>
          <w:szCs w:val="21"/>
        </w:rPr>
        <w:t>的限制；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w:t>
      </w:r>
      <w:r>
        <w:rPr>
          <w:rFonts w:ascii="宋体" w:hAnsi="宋体" w:hint="eastAsia"/>
          <w:bCs/>
          <w:szCs w:val="21"/>
        </w:rPr>
        <w:t>）本基金持有一家公司发行的证券，其市值不超过基金资产净值的</w:t>
      </w:r>
      <w:r>
        <w:rPr>
          <w:rFonts w:ascii="宋体" w:hAnsi="宋体"/>
          <w:bCs/>
          <w:szCs w:val="21"/>
        </w:rPr>
        <w:t>10%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4</w:t>
      </w:r>
      <w:r>
        <w:rPr>
          <w:rFonts w:ascii="宋体" w:hAnsi="宋体" w:hint="eastAsia"/>
          <w:bCs/>
          <w:szCs w:val="21"/>
        </w:rPr>
        <w:t>）本基金管理人管理的全部基金持有一家公司发行的证券，不超过该证券的</w:t>
      </w:r>
      <w:r>
        <w:rPr>
          <w:rFonts w:ascii="宋体" w:hAnsi="宋体"/>
          <w:bCs/>
          <w:szCs w:val="21"/>
        </w:rPr>
        <w:t>10%</w:t>
      </w:r>
      <w:r>
        <w:rPr>
          <w:rFonts w:ascii="宋体" w:hAnsi="宋体" w:hint="eastAsia"/>
          <w:bCs/>
          <w:szCs w:val="21"/>
        </w:rPr>
        <w:t>，完全按照有关指数的构成比例进行证券投资的基金品种可以不受此条款规定的比例限制；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5</w:t>
      </w:r>
      <w:r>
        <w:rPr>
          <w:rFonts w:ascii="宋体" w:hAnsi="宋体" w:hint="eastAsia"/>
          <w:bCs/>
          <w:szCs w:val="21"/>
        </w:rPr>
        <w:t>）本基金投资于同一原始权益人的各类资产支持证券的比例，不得超过基金资产净值的</w:t>
      </w:r>
      <w:r>
        <w:rPr>
          <w:rFonts w:ascii="宋体" w:hAnsi="宋体"/>
          <w:bCs/>
          <w:szCs w:val="21"/>
        </w:rPr>
        <w:t>10%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6</w:t>
      </w:r>
      <w:r>
        <w:rPr>
          <w:rFonts w:ascii="宋体" w:hAnsi="宋体" w:hint="eastAsia"/>
          <w:bCs/>
          <w:szCs w:val="21"/>
        </w:rPr>
        <w:t>）本基金持有的全部资产支持证券，其市值不得超过基金资产净值的</w:t>
      </w:r>
      <w:r>
        <w:rPr>
          <w:rFonts w:ascii="宋体" w:hAnsi="宋体"/>
          <w:bCs/>
          <w:szCs w:val="21"/>
        </w:rPr>
        <w:t>20%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7</w:t>
      </w:r>
      <w:r>
        <w:rPr>
          <w:rFonts w:ascii="宋体" w:hAnsi="宋体" w:hint="eastAsia"/>
          <w:bCs/>
          <w:szCs w:val="21"/>
        </w:rPr>
        <w:t>）本基金持有的同一（指同一信用级别）资产支持证券的比例，不得超过该资产支持证券规模的</w:t>
      </w:r>
      <w:r>
        <w:rPr>
          <w:rFonts w:ascii="宋体" w:hAnsi="宋体"/>
          <w:bCs/>
          <w:szCs w:val="21"/>
        </w:rPr>
        <w:t>10%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8</w:t>
      </w:r>
      <w:r>
        <w:rPr>
          <w:rFonts w:ascii="宋体" w:hAnsi="宋体" w:hint="eastAsia"/>
          <w:bCs/>
          <w:szCs w:val="21"/>
        </w:rPr>
        <w:t>）本基金管理人管理的全部基金投资于同一原始权益人的各类资产支持证券，不得超过其各类资产支持证券合计规模的</w:t>
      </w:r>
      <w:r>
        <w:rPr>
          <w:rFonts w:ascii="宋体" w:hAnsi="宋体"/>
          <w:bCs/>
          <w:szCs w:val="21"/>
        </w:rPr>
        <w:t>10%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9</w:t>
      </w:r>
      <w:r>
        <w:rPr>
          <w:rFonts w:ascii="宋体" w:hAnsi="宋体" w:hint="eastAsia"/>
          <w:bCs/>
          <w:szCs w:val="21"/>
        </w:rPr>
        <w:t>）本基金应投资于信用级别评级为</w:t>
      </w:r>
      <w:r>
        <w:rPr>
          <w:rFonts w:ascii="宋体" w:hAnsi="宋体"/>
          <w:bCs/>
          <w:szCs w:val="21"/>
        </w:rPr>
        <w:t>BBB</w:t>
      </w:r>
      <w:r>
        <w:rPr>
          <w:rFonts w:ascii="宋体" w:hAnsi="宋体" w:hint="eastAsia"/>
          <w:bCs/>
          <w:szCs w:val="21"/>
        </w:rPr>
        <w:t>以上（含</w:t>
      </w:r>
      <w:r>
        <w:rPr>
          <w:rFonts w:ascii="宋体" w:hAnsi="宋体"/>
          <w:bCs/>
          <w:szCs w:val="21"/>
        </w:rPr>
        <w:t>BBB</w:t>
      </w:r>
      <w:r>
        <w:rPr>
          <w:rFonts w:ascii="宋体" w:hAnsi="宋体" w:hint="eastAsia"/>
          <w:bCs/>
          <w:szCs w:val="21"/>
        </w:rPr>
        <w:t>）的资产支持证券。基金持有资产支持证券期间，如果其信用等级下降、不再符合投资标准，应在评级报告发布之日起</w:t>
      </w:r>
      <w:r>
        <w:rPr>
          <w:rFonts w:ascii="宋体" w:hAnsi="宋体"/>
          <w:bCs/>
          <w:szCs w:val="21"/>
        </w:rPr>
        <w:t>3</w:t>
      </w:r>
      <w:r>
        <w:rPr>
          <w:rFonts w:ascii="宋体" w:hAnsi="宋体" w:hint="eastAsia"/>
          <w:bCs/>
          <w:szCs w:val="21"/>
        </w:rPr>
        <w:t>个月内予以全部卖出；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lastRenderedPageBreak/>
        <w:t>（</w:t>
      </w:r>
      <w:r>
        <w:rPr>
          <w:rFonts w:ascii="宋体" w:hAnsi="宋体"/>
          <w:bCs/>
          <w:szCs w:val="21"/>
        </w:rPr>
        <w:t>10</w:t>
      </w:r>
      <w:r>
        <w:rPr>
          <w:rFonts w:ascii="宋体" w:hAnsi="宋体" w:hint="eastAsia"/>
          <w:bCs/>
          <w:szCs w:val="21"/>
        </w:rPr>
        <w:t>）在封闭期内，本基金资产总值不得超过基金资产净值的</w:t>
      </w:r>
      <w:r>
        <w:rPr>
          <w:rFonts w:ascii="宋体" w:hAnsi="宋体"/>
          <w:bCs/>
          <w:szCs w:val="21"/>
        </w:rPr>
        <w:t>200%</w:t>
      </w:r>
      <w:r>
        <w:rPr>
          <w:rFonts w:ascii="宋体" w:hAnsi="宋体" w:hint="eastAsia"/>
          <w:bCs/>
          <w:szCs w:val="21"/>
        </w:rPr>
        <w:t>；在开放期内，本基金资产总值不得超过基金资产净值的</w:t>
      </w:r>
      <w:r>
        <w:rPr>
          <w:rFonts w:ascii="宋体" w:hAnsi="宋体"/>
          <w:bCs/>
          <w:szCs w:val="21"/>
        </w:rPr>
        <w:t>140%</w:t>
      </w:r>
      <w:r>
        <w:rPr>
          <w:rFonts w:ascii="宋体" w:hAnsi="宋体" w:hint="eastAsia"/>
          <w:bCs/>
          <w:szCs w:val="21"/>
        </w:rPr>
        <w:t>；</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1</w:t>
      </w:r>
      <w:r>
        <w:rPr>
          <w:rFonts w:ascii="宋体" w:hAnsi="宋体" w:hint="eastAsia"/>
          <w:bCs/>
          <w:szCs w:val="21"/>
        </w:rPr>
        <w:t>）在封闭期内，本基金投资的各类金融工具的到期日或回售日不得晚于该封闭期的最后一日；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12</w:t>
      </w:r>
      <w:r>
        <w:rPr>
          <w:rFonts w:ascii="宋体" w:hAnsi="宋体" w:hint="eastAsia"/>
          <w:bCs/>
          <w:szCs w:val="21"/>
        </w:rPr>
        <w:t>）本基金在开放期内主动投资于流动性受限资产的市值合计不得超过本基金资产净值的</w:t>
      </w:r>
      <w:r>
        <w:rPr>
          <w:rFonts w:ascii="宋体" w:hAnsi="宋体"/>
          <w:bCs/>
          <w:szCs w:val="21"/>
        </w:rPr>
        <w:t>15%</w:t>
      </w:r>
      <w:r>
        <w:rPr>
          <w:rFonts w:ascii="宋体" w:hAnsi="宋体" w:hint="eastAsia"/>
          <w:bCs/>
          <w:szCs w:val="21"/>
        </w:rPr>
        <w:t>。因证券市场波动、基金规模变动等基金管理人之外的因素致使本基金不符合该比例限制的，基金管理人不得主动新增流动性受限资产的投资；</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13</w:t>
      </w:r>
      <w:r>
        <w:rPr>
          <w:rFonts w:ascii="宋体" w:hAnsi="宋体" w:hint="eastAsia"/>
          <w:bCs/>
          <w:szCs w:val="21"/>
        </w:rPr>
        <w:t>）本基金与私募类证券资管产品及中国证监会认定的其他主体为交易对手开展逆回购交易的，可接受质押品的资质要求应当与基金合同约定的投资范围保持一致；</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14</w:t>
      </w:r>
      <w:r>
        <w:rPr>
          <w:rFonts w:ascii="宋体" w:hAnsi="宋体" w:hint="eastAsia"/>
          <w:bCs/>
          <w:szCs w:val="21"/>
        </w:rPr>
        <w:t>）法律法规及中国证监会规定的和《基金合同》约定的其他投资限制。</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除第（</w:t>
      </w:r>
      <w:r>
        <w:rPr>
          <w:rFonts w:ascii="宋体" w:hAnsi="宋体"/>
          <w:bCs/>
          <w:szCs w:val="21"/>
        </w:rPr>
        <w:t>2</w:t>
      </w:r>
      <w:r>
        <w:rPr>
          <w:rFonts w:ascii="宋体" w:hAnsi="宋体" w:hint="eastAsia"/>
          <w:bCs/>
          <w:szCs w:val="21"/>
        </w:rPr>
        <w:t>）、（</w:t>
      </w:r>
      <w:r>
        <w:rPr>
          <w:rFonts w:ascii="宋体" w:hAnsi="宋体"/>
          <w:bCs/>
          <w:szCs w:val="21"/>
        </w:rPr>
        <w:t>9</w:t>
      </w:r>
      <w:r>
        <w:rPr>
          <w:rFonts w:ascii="宋体" w:hAnsi="宋体" w:hint="eastAsia"/>
          <w:bCs/>
          <w:szCs w:val="21"/>
        </w:rPr>
        <w:t>）、（</w:t>
      </w:r>
      <w:r>
        <w:rPr>
          <w:rFonts w:ascii="宋体" w:hAnsi="宋体"/>
          <w:bCs/>
          <w:szCs w:val="21"/>
        </w:rPr>
        <w:t>12</w:t>
      </w:r>
      <w:r>
        <w:rPr>
          <w:rFonts w:ascii="宋体" w:hAnsi="宋体" w:hint="eastAsia"/>
          <w:bCs/>
          <w:szCs w:val="21"/>
        </w:rPr>
        <w:t>）、（</w:t>
      </w:r>
      <w:r>
        <w:rPr>
          <w:rFonts w:ascii="宋体" w:hAnsi="宋体"/>
          <w:bCs/>
          <w:szCs w:val="21"/>
        </w:rPr>
        <w:t>13</w:t>
      </w:r>
      <w:r>
        <w:rPr>
          <w:rFonts w:ascii="宋体" w:hAnsi="宋体" w:hint="eastAsia"/>
          <w:bCs/>
          <w:szCs w:val="21"/>
        </w:rPr>
        <w:t>）项外，因证券市场波动、证券发行人合并、基金规模变动等基金管理人之外的因素致使基金投资比例不符合上述规定投资比例的，基金管理人应当在</w:t>
      </w:r>
      <w:r>
        <w:rPr>
          <w:rFonts w:ascii="宋体" w:hAnsi="宋体"/>
          <w:bCs/>
          <w:szCs w:val="21"/>
        </w:rPr>
        <w:t>10</w:t>
      </w:r>
      <w:r>
        <w:rPr>
          <w:rFonts w:ascii="宋体" w:hAnsi="宋体" w:hint="eastAsia"/>
          <w:bCs/>
          <w:szCs w:val="21"/>
        </w:rPr>
        <w:t>个交易日内进行调整，但法律法规或中国证监会规定的特殊情形除外。</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基金管理人应当自基金合同生效之日起</w:t>
      </w:r>
      <w:r>
        <w:rPr>
          <w:rFonts w:ascii="宋体" w:hAnsi="宋体"/>
          <w:bCs/>
          <w:szCs w:val="21"/>
        </w:rPr>
        <w:t>6</w:t>
      </w:r>
      <w:r>
        <w:rPr>
          <w:rFonts w:ascii="宋体" w:hAnsi="宋体"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法律法规或监管部门取消或调整上述限制，如适用于本基金，基金管理人在履行适当程序后，则本基金投资不再受相关限制或按调整后的规定执行，但须提前公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（三）基金托管人根据有关法律法规的规定及基金合同的约定，对本托管协议第十五条第（十二）款基金投资禁止行为进行监督。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（四）基金托管人根据有关法律法规的规定及基金合同的约定，对基金管理人参与银行间债券市场进行监督。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w:t>
      </w:r>
      <w:r>
        <w:rPr>
          <w:rFonts w:ascii="宋体" w:hAnsi="宋体" w:hint="eastAsia"/>
          <w:bCs/>
          <w:szCs w:val="21"/>
        </w:rPr>
        <w:lastRenderedPageBreak/>
        <w:t>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 xml:space="preserve">    （五）基金托管人对基金投资银行存款进行监督。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 xml:space="preserve">    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如基金管理人在基金投资运作之前未向基金托管人提供存款银行名单的，视为基金管理人认可所有银行。基金管理人投资银行定期存款应符合相关法律法规的规定。基金管理人在投资银行定期存款的过程中，必须符合基金合同就投资品种、投资比例、存款期限等方面的限制。基金管理人应基于审慎原则评估存款银行信用风险并据此选择存款银行。因基金管理人违反上述原则给基金造成的损失，基金托管人不承担任何责任。开立定期存款账户时，定期存款账户的户名应与托管账户户名一致，本着便于基金资产的安全保管和日常监督核查的原则，存款行应尽量选择托管账户所在地的分支机构。对于跨行定期存款投资，管理人必须和存款机构签订定期存款协议，约定双方的权利和义务，定期存款协议作为划款指令附件。定期存款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托管人有权拒绝定期存款投资的划款指令。对于跨行存款，管理人需提前与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管理人需对跨行存款的利率政策风险、存款行的选择及存款协议承担责任，并指定专人在核实存款行授权人员身份信息后，负责印鉴卡与存款证实书等凭证的监交或交接，以确保与托管人所交接凭证的真实性、准确性和完整性。托管人对投资后处于托管人实际控制之外的资产不承担保管责任。跨行定期存款账户的预留印鉴为托管人托管业务专用章与托管业务授权人名章。</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六）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如果基金管理人未经基</w:t>
      </w:r>
      <w:r>
        <w:rPr>
          <w:rFonts w:ascii="宋体" w:hAnsi="宋体" w:hint="eastAsia"/>
          <w:bCs/>
          <w:szCs w:val="21"/>
        </w:rPr>
        <w:lastRenderedPageBreak/>
        <w:t>金托管人的审核擅自将不实的业绩表现数据印制在宣传推介材料上，则基金托管人对此不承担任何责任，并将在发现后立即报告中国证监会。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（七）基金托管人发现基金管理人的上述事项及投资指令或实际投资运作违反法律法规、基金合同和本托管协议的规定，应及时以电话提醒或书面提示等方式通知基金管理人限期纠正。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（八）基金管理人有义务配合和协助基金托管人依照法律法规、基金合同和本托管协议对基金业务执行核查。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（九）若基金托管人发现基金管理人依据交易程序已经生效的指令违反法律、行政法规和其他有关规定，或者违反基金合同约定的，应当立即通知基金管理人。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（十）基金托管人发现基金管理人有重大违规行为，应及时报告中国证监会，同时通知基金管理人限期纠正，并将纠正结果报告中国证监会。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三、基金管理人对基金托管人的业务核查</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一）基金管理人对基金托管人履行托管职责情况进行核查，核查事项包括基金托管人安全保管基金财产、开设基金财产的资金账户和证券账户等投资所需账户、复核基金管理人计算的基金资产净值和基金份额净值、根据基金管理人指令办理清算交收、相关信息披露和监督基金投资运作等行为。</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基金托管人收到通知后应及时核对并以书面形式给基金管理人发出回函，说明违规原因及纠正期限，并保证在规定期限内及时改正。在上述规定期限内，基金管理人有权随时对通</w:t>
      </w:r>
      <w:r>
        <w:rPr>
          <w:rFonts w:ascii="宋体" w:hAnsi="宋体" w:hint="eastAsia"/>
          <w:bCs/>
          <w:szCs w:val="21"/>
        </w:rPr>
        <w:lastRenderedPageBreak/>
        <w:t>知事项进行复查，督促基金托管人改正。基金托管人应积极配合基金管理人的核查行为，包括但不限于：提交相关资料以供基金管理人核查托管财产的完整性和真实性，在规定时间内答复基金管理人并改正。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（三）基金管理人发现基金托管人有重大违规行为，应及时报告中国证监会，同时通知基金托管人限期纠正，并将纠正结果报告中国证监会。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基金托管人无正当理由，拒绝、阻挠对方根据本协议规定行使监督权，或采取拖延、欺诈等手段妨碍对方进行有效监督，情节严重或经基金管理人提出警告仍不改正的，基金管理人应报告中国证监会。</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四、基金财产保管</w:t>
      </w:r>
    </w:p>
    <w:p w:rsidR="00822B64" w:rsidRDefault="00E92BF7">
      <w:pPr>
        <w:snapToGrid w:val="0"/>
        <w:spacing w:line="360" w:lineRule="auto"/>
        <w:ind w:firstLineChars="200" w:firstLine="420"/>
        <w:rPr>
          <w:rFonts w:ascii="宋体" w:hAnsi="宋体"/>
          <w:bCs/>
          <w:szCs w:val="21"/>
        </w:rPr>
      </w:pPr>
      <w:bookmarkStart w:id="347" w:name="_Toc37159173"/>
      <w:bookmarkStart w:id="348" w:name="_Toc77662997"/>
      <w:r>
        <w:rPr>
          <w:rFonts w:ascii="宋体" w:hAnsi="宋体" w:hint="eastAsia"/>
          <w:bCs/>
          <w:szCs w:val="21"/>
        </w:rPr>
        <w:t>（一）基金财产保管的原则</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1．基金财产应独立于基金管理人、基金托管人的固有财产；</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2．基金托管人应安全保管基金财产；</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3．基金托管人按照规定开设基金财产的资金账户和证券账户等投资所需账户；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 xml:space="preserve">4．基金托管人对所托管的不同基金财产分别设置账户，确保基金财产的完整与独立； </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5．基金托管人根据基金管理人的指令，按照基金合同和本协议的约定保管基金财产，如有特殊情况双方可另行协商解决；</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基金托管人应及时配合基金管理人向有关当事人追偿基金财产的损失；</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7．除依据法律法规和基金合同的规定外，基金托管人不得委托第三人托管基金财产。</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（二）基金募集期间及募集资金的验资</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1．基金募集期间募集的资金应存于基金管理人开立的“基金募集专户”。该账户由基金管理人开立并管理。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符合《证券法》规定的会计师事务所进行验资，出具验资报告。出具的验资报告由参加验资的2名或2名以上中国注册会计师签字方为有效。</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3．若基金募集期限届满，未能达到基金合同生效的条件，由基金管理人按规定办理退款等事宜。</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（三）基金托管专户的开立和管理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2．基金托管专户的开立和使用，限于满足开展本基金业务的需要。基金托管人和基金管理人不得假借本基金的名义开立任何其他银行账户；亦不得使用基金的任何账户进行本基金业务以外的活动。</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3．基金托管专户的开立和管理应符合有关法律法规以及银行业监督管理机构的其他有关规定。</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（四）基金证券账户和结算备付金账户的开立和管理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1．基金托管人在中国证券登记结算有限责任公司上海分公司、深圳分公司为基金开立基金托管人与基金联名的证券账户。</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3．基金证券账户的开立和证券账户卡的保管由基金托管人负责，账户资产的管理和运用由基金管理人负责。</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5．若中国证监会或其他监管机构在本托管协议订立日之后允许基金从事其他投资品种的投资业务，涉及相关账户的开立、使用的，若无相关规定，则基金托管人比照上述关于账户开立、使用的规定执行。</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（五）银行间债券托管专户的开设和管理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（六）其他账户的开立和管理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lastRenderedPageBreak/>
        <w:t>（七）基金财产投资的有关有价凭证等的保管</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（八）与基金财产有关的重大合同的保管</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不低于法律法规规定的最低期限。</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对于无法取得二份以上正本的，基金管理人应向基金托管人提供与合同原件核对一致的加盖公章的合同传真件，未经双方协商一致，合同原件不得转移。</w:t>
      </w:r>
    </w:p>
    <w:bookmarkEnd w:id="347"/>
    <w:bookmarkEnd w:id="348"/>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五、基金资产净值计算和会计核算</w:t>
      </w:r>
    </w:p>
    <w:p w:rsidR="00822B64" w:rsidRDefault="00E92BF7">
      <w:pPr>
        <w:snapToGrid w:val="0"/>
        <w:spacing w:line="360" w:lineRule="auto"/>
        <w:ind w:firstLineChars="200" w:firstLine="420"/>
        <w:rPr>
          <w:rFonts w:ascii="宋体" w:hAnsi="宋体"/>
          <w:szCs w:val="21"/>
        </w:rPr>
      </w:pPr>
      <w:bookmarkStart w:id="349" w:name="_Toc77663017"/>
      <w:r>
        <w:rPr>
          <w:rFonts w:ascii="宋体" w:hAnsi="宋体" w:hint="eastAsia"/>
          <w:szCs w:val="21"/>
        </w:rPr>
        <w:t>（一）基金资产净值的计算、复核与完成的时间及程序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1．基金资产净值</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基金资产净值是指基金资产总值减去负债后的价值。</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份额净值是按照每个工作日闭市后，基金资产净值除以当日基金份额的余额数量计算，精确到0.0001元，小数点后第5位四舍五入。基金管理人可以设立大额赎回情形下的净值精度应急调整机制。国家及基金合同另有规定的，从其规定。</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2．复核程序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基金管理人每个工作日对基金资产进行估值后，将基金份额净值结果发送基金托管人，经基金托管人复核无误后，由基金管理人按规定对外公布。</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信息的计算结果对外予以公布。</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（二）基金资产估值方法和特殊情形的处理</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1．估值对象</w:t>
      </w:r>
    </w:p>
    <w:p w:rsidR="00822B64" w:rsidRDefault="00E92BF7">
      <w:pPr>
        <w:snapToGrid w:val="0"/>
        <w:spacing w:line="360" w:lineRule="auto"/>
        <w:ind w:firstLineChars="200" w:firstLine="420"/>
        <w:rPr>
          <w:rFonts w:ascii="宋体" w:hAnsi="宋体"/>
          <w:szCs w:val="21"/>
        </w:rPr>
      </w:pPr>
      <w:r>
        <w:rPr>
          <w:rFonts w:ascii="宋体" w:hAnsi="宋体" w:hint="eastAsia"/>
          <w:szCs w:val="21"/>
        </w:rPr>
        <w:lastRenderedPageBreak/>
        <w:t>基金所拥有的债券、资产支持证券和银行存款本息、应收款项、其它投资等资产及负债。</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2．估值方法</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本基金估值采用摊余成本法，即估值对象以买入成本列示，按票面利率或协议利率并考虑其买入时的溢价与折价，在其剩余期限内按实际利率法进行摊销，确认利息收入并评估减值准备。本基金不采用市场利率和上市交易的债券和票据的市价计算基金资产净值。</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（2）债券回购以协议成本列示，按协议利率在实际持有期内逐日计提利息。</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（3）持有的银行定期存款或通知存款以本金列示，根据存款协议列示的利息总额或约定利率每自然日计提利息。如提前支取或利率发生变化，则按需进行账务调整。</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如有确凿证据表明本基金在封闭期内买入持有至到期的投资策略发生变化或其他原因，导致按原有摊余成本法估值不能客观反映上述资产或负债于开放期内的公允价值的，基金管理人可根据具体情况与基金托管人商定后，按最能反映上述资产或负债于开放期内的公允价值的方法估值。为最大限度保护基金份额持有人利益，基金管理人可采用的风险控制手段包括但不限于：处置信用风险显著增加的固定收益品种、及时评估和计提固定收益品种减值损失、封闭期到期暂停进入下一开放期、于开放期内改按公允价值计算基金份额净值等。</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（5）当发生大额申购或赎回情形时，基金管理人可以采用摆动定价机制，以确保基金估值的公平性。</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（6）基金应当按照企业会计准则的要求，评估金融资产是否发生减值，如有客观证据表明其发生减值的，应当计提减值准备。</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（7）相关法律法规以及监管部门有强制规定的，从其规定。如有新增事项，按国家最新规定估值。</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对外予以公布。</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（三）估值错误的处理</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基金管理人和基金托管人将采取必要、适当、合理的措施确保基金资产估值的准确性、及时性。当基金份额净值小数点后4位以内（含第4位）发生估值错误时，视为基金份额净值错误。</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基金合同的当事人应按照以下约定处理：</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1、估值错误类型</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本基金运作过程中，如果由于基金管理人或基金托管人、或登记机构、或销售机构、或</w:t>
      </w:r>
      <w:r>
        <w:rPr>
          <w:rFonts w:ascii="宋体" w:hAnsi="宋体" w:hint="eastAsia"/>
          <w:szCs w:val="21"/>
        </w:rPr>
        <w:lastRenderedPageBreak/>
        <w:t>投资人自身的过错造成估值错误，导致其他当事人遭受损失的，过错的责任人应当对由于该估值错误遭受损失当事人（“受损方”）的直接损失按下述“估值错误处理原则”给予赔偿，承担赔偿责任。</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2、估值错误处理原则</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（2）估值错误的责任方对有关当事人的直接损失负责，不对间接损失负责，并且仅对估值错误的有关直接当事人负责，不对第三方负责。</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（4）估值错误调整采用尽量恢复至假设未发生估值错误的正确情形的方式。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3、估值错误处理程序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估值错误被发现后，有关的当事人应当及时进行处理，处理的程序如下：</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（1）查明估值错误发生的原因，列明所有的当事人，并根据估值错误发生的原因确定估值错误的责任方；</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（2）根据估值错误处理原则或当事人协商的方法对因估值错误造成的损失进行评估；</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（3）根据估值错误处理原则或当事人协商的方法由估值错误的责任方进行更正和赔偿损失；</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（4）根据估值错误处理的方法，需要修改基金登记机构交易数据的，由基金登记机构</w:t>
      </w:r>
      <w:r>
        <w:rPr>
          <w:rFonts w:ascii="宋体" w:hAnsi="宋体" w:hint="eastAsia"/>
          <w:szCs w:val="21"/>
        </w:rPr>
        <w:lastRenderedPageBreak/>
        <w:t>进行更正，并就估值错误的更正向有关当事人进行确认。</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4、基金份额净值估值错误处理的方法如下：</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（1）基金份额净值计算出现错误时，基金管理人应当立即予以纠正，通报基金托管人，并采取合理的措施防止损失进一步扩大。</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（2）错误偏差达到基金份额净值的0.25%时，基金管理人应当通报基金托管人并报中国证监会备案；错误偏差达到基金份额净值的0.5%时，基金管理人应当公告，并报中国证监会备案。</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（3）前述内容如法律法规或监管机关另有规定的，从其规定处理。如果行业有通行做法，基金管理人和基金托管人应本着平等和保护基金份额持有人利益的原则进行协商。</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（四）暂停估值的情形</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1、基金投资所涉及的证券交易市场遇法定节假日或因其他原因暂停营业时；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2、因不可抗力致使基金管理人、基金托管人无法准确评估基金资产价值时；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w:t>
      </w:r>
      <w:r>
        <w:rPr>
          <w:rFonts w:ascii="宋体" w:hAnsi="宋体" w:hint="eastAsia"/>
          <w:bCs/>
          <w:szCs w:val="21"/>
        </w:rPr>
        <w:t>当特定资产占前一估值日基金资产净值50%以上的，经与基金托管人协商确认后，基金管理人应当暂停估值；</w:t>
      </w:r>
      <w:r>
        <w:rPr>
          <w:rFonts w:ascii="宋体" w:hAnsi="宋体" w:hint="eastAsia"/>
          <w:szCs w:val="21"/>
        </w:rPr>
        <w:t>4、中国证监会和基金合同认定的其它情形。</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（五）基金会计制度</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按国家有关部门规定的会计制度执行。</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（六）基金账册的建立</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净值的计算和公告的，以基金管理人的账册为准。</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（七）基金财务报表与报告的编制和复核</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1．财务报表的编制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基金财务报表由基金管理人编制，基金托管人复核。</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2．报表复核</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基金托管人在收到基金管理人编制的基金财务报表后，进行独立的复核。核对不符时，应及时通知基金管理人共同查出原因，进行调整，直至双方数据完全一致。</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3．财务报表的编制与复核时间安排</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财务报表由基金管理人和基金托管人每月分别独立编制。月度报表的编制，应于每月终了后5个工作日内完成。定期报告文件应按中国证监会的要求公告。季度报表的编制，应于季度终了后15个工作日内完成；基金招募说明书的信息发生重大变更的，基金管理人应当在三个工作日内，更新基金招募说明书并登载在规定网站上；基金招募说明书其他信息发生变更的，基金管理人至少每年更新一次。中期报告在基金会计年度前6个月结束后的两个月内公告；年度报告在会计年度结束后三个月内公告。本基金暂停运作的期间，不更新招</w:t>
      </w:r>
      <w:r>
        <w:rPr>
          <w:rFonts w:ascii="宋体" w:hAnsi="宋体" w:hint="eastAsia"/>
          <w:szCs w:val="21"/>
        </w:rPr>
        <w:lastRenderedPageBreak/>
        <w:t>募说明书及定期报告。</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管理人在月初3个工作日内完成上月度报表的编制，基金托管人收到后在2个工作日内进行复核，并将复核结果及时以书面或其他双方约定的方式通知基金管理人。对于季度报告、中期报告、年度报告等定期报告，基金管理人和基金托管人应在上述监管部门规定的时间内完成编制、复核及公告。基金托管人在复核过程中，发现双方的报表存在不符时，基金管理人和基金托管人应共同查明原因，进行调整，调整以双方认可的账务处理方式为准。如果基金管理人与基金托管人不能于应当发布公告之日前就相关报表达成一致，基金管理人有权按照其编制的报表对外发布公告，基金托管人有权就相关情况报证监会备案。</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基金托管人在对财务报表、季度报告、中期报告或年度报告复核完毕后，可以出具复核确认书（盖章）或以其他双方约定的方式确认，以备有权机构对相关文件审核检查。</w:t>
      </w:r>
    </w:p>
    <w:bookmarkEnd w:id="349"/>
    <w:p w:rsidR="00822B64" w:rsidRDefault="00E92BF7">
      <w:pPr>
        <w:snapToGrid w:val="0"/>
        <w:spacing w:line="360" w:lineRule="auto"/>
        <w:ind w:firstLineChars="200" w:firstLine="420"/>
        <w:rPr>
          <w:rFonts w:ascii="宋体" w:hAnsi="宋体"/>
          <w:szCs w:val="21"/>
        </w:rPr>
      </w:pPr>
      <w:r>
        <w:rPr>
          <w:rFonts w:ascii="宋体" w:hAnsi="宋体" w:hint="eastAsia"/>
          <w:szCs w:val="21"/>
        </w:rPr>
        <w:t>六、基金份额持有人名册的保管</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份额持有人名册至少应包括基金份额持有人的名称和持有的基金份额。基金份额持有人名册由基金登记机构根据基金管理人的指令编制和保管，保存期自基金账户销户之日起不少于20年。基金管理人应定期向基金托管人提供基金份额持有人名册，基金托管人得到基金管理人提供的持有人名册后与基金管理人分别进行保管。保管方式可以采用电子或文档的形式，保存期不低于法律法规规定的最低期限。如不能妥善保管，则按相关法规承担责任。</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七、争议解决方式</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各方当事人同意，因基金合同及本协议而产生的或与基金合同或本协议有关的一切争议，如经友好协商未能解决的，任何一方均有权将争议提交上海国际经济贸易仲裁委员会，按照该会届时有效的仲裁规则进行仲裁。仲裁地点为上海市。仲裁裁决是终局的，对各方当事人均有约束力，仲裁费用由败诉方承担。</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争议处理期间，双方当事人应恪守基金管理人和基金托管人职责，各自继续忠实、勤勉、尽责地履行基金合同和本托管协议规定的义务，维护基金份额持有人的合法权益。</w:t>
      </w: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本协议受中国法律管辖。</w:t>
      </w:r>
    </w:p>
    <w:p w:rsidR="00822B64" w:rsidRDefault="00822B64">
      <w:pPr>
        <w:snapToGrid w:val="0"/>
        <w:spacing w:line="360" w:lineRule="auto"/>
        <w:ind w:firstLineChars="200" w:firstLine="420"/>
        <w:rPr>
          <w:rFonts w:ascii="宋体" w:hAnsi="宋体"/>
          <w:bCs/>
          <w:szCs w:val="21"/>
        </w:rPr>
      </w:pPr>
    </w:p>
    <w:p w:rsidR="00822B64" w:rsidRDefault="00E92BF7">
      <w:pPr>
        <w:snapToGrid w:val="0"/>
        <w:spacing w:line="360" w:lineRule="auto"/>
        <w:ind w:firstLineChars="200" w:firstLine="420"/>
        <w:rPr>
          <w:rFonts w:ascii="宋体" w:hAnsi="宋体"/>
          <w:bCs/>
          <w:szCs w:val="21"/>
        </w:rPr>
      </w:pPr>
      <w:r>
        <w:rPr>
          <w:rFonts w:ascii="宋体" w:hAnsi="宋体" w:hint="eastAsia"/>
          <w:bCs/>
          <w:szCs w:val="21"/>
        </w:rPr>
        <w:t>八、托管协议的变更、终止与基金财产的清算</w:t>
      </w:r>
    </w:p>
    <w:p w:rsidR="00822B64" w:rsidRDefault="00E92BF7">
      <w:pPr>
        <w:snapToGrid w:val="0"/>
        <w:spacing w:line="360" w:lineRule="auto"/>
        <w:ind w:firstLineChars="200" w:firstLine="420"/>
        <w:rPr>
          <w:rFonts w:ascii="宋体" w:hAnsi="宋体"/>
          <w:szCs w:val="21"/>
        </w:rPr>
      </w:pPr>
      <w:bookmarkStart w:id="350" w:name="_Toc510842757"/>
      <w:r>
        <w:rPr>
          <w:rFonts w:ascii="宋体" w:hAnsi="宋体" w:hint="eastAsia"/>
          <w:szCs w:val="21"/>
        </w:rPr>
        <w:t>（一）托管协议的变更程序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本协议双方当事人经协商一致，可以对协议进行修改。修改后的新协议，其内容不得与基金合同的规定有任何冲突。基金托管协议的变更报中国备案。</w:t>
      </w:r>
    </w:p>
    <w:p w:rsidR="00822B64" w:rsidRDefault="00E92BF7">
      <w:pPr>
        <w:snapToGrid w:val="0"/>
        <w:spacing w:line="360" w:lineRule="auto"/>
        <w:ind w:firstLineChars="200" w:firstLine="420"/>
        <w:rPr>
          <w:rFonts w:ascii="宋体" w:hAnsi="宋体"/>
          <w:szCs w:val="21"/>
        </w:rPr>
      </w:pPr>
      <w:r>
        <w:rPr>
          <w:rFonts w:ascii="宋体" w:hAnsi="宋体" w:hint="eastAsia"/>
          <w:szCs w:val="21"/>
        </w:rPr>
        <w:lastRenderedPageBreak/>
        <w:t>（二）基金托管协议终止出现的情形</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1．基金合同终止；</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2．基金托管人解散、依法被撤销、破产或由其他基金托管人接管基金资产；</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3．基金管理人解散、依法被撤销、破产或由其他基金管理人接管基金管理权；</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4．发生法律法规或基金合同规定的终止事项。</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（三）基金财产的清算</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1、基金财产清算小组：自出现基金合同终止事由之日起30个工作日内成立基金财产清算小组，基金管理人组织基金财产清算小组并在中国证监会的监督下进行基金清算。</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3、基金财产清算小组职责：基金财产清算小组负责基金财产的保管、清理、估价、变现和分配。基金财产清算小组可以依法进行必要的民事活动。</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4、基金财产清算程序：</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（1）《基金合同》终止情形出现时，由基金财产清算小组统一接管基金财产；</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（2）对基金财产和债权债务进行清理和确认；</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（3）对基金财产进行估值和变现；</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（4）制作清算报告；</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（5）聘请会计师事务所对清算报告进行外部审计，聘请律师事务所对清算报告出具法律意见书；</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（6）将清算报告报中国证监会备案并公告；</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（7）对基金剩余财产进行分配。</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5、基金财产清算的期限为6个月，但因本基金所持证券的流动性受到限制而不能及时变现的，清算期限相应顺延。</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（四）清算费用</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清算费用是指基金财产清算小组在进行基金清算过程中发生的所有合理费用，清算费用由基金财产清算小组优先从基金剩余财产中支付。</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（五）基金财产清算剩余资产的分配</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（六）基金财产清算的公告</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w:t>
      </w:r>
      <w:r>
        <w:rPr>
          <w:rFonts w:ascii="宋体" w:hAnsi="宋体" w:hint="eastAsia"/>
          <w:szCs w:val="21"/>
        </w:rPr>
        <w:lastRenderedPageBreak/>
        <w:t>清算小组进行公告，基金财产清算小组应当将清算报告登载在规定网站上，并将清算报告提示性公告登载在规定报刊上。</w:t>
      </w:r>
    </w:p>
    <w:p w:rsidR="00822B64" w:rsidRDefault="00E92BF7">
      <w:pPr>
        <w:snapToGrid w:val="0"/>
        <w:spacing w:line="360" w:lineRule="auto"/>
        <w:ind w:firstLineChars="200" w:firstLine="420"/>
        <w:rPr>
          <w:rFonts w:ascii="宋体" w:hAnsi="宋体"/>
          <w:szCs w:val="21"/>
        </w:rPr>
      </w:pPr>
      <w:r>
        <w:rPr>
          <w:rFonts w:ascii="宋体" w:hAnsi="宋体" w:hint="eastAsia"/>
          <w:szCs w:val="21"/>
        </w:rPr>
        <w:t>（七）基金财产清算账册及文件的保存</w:t>
      </w:r>
    </w:p>
    <w:p w:rsidR="00822B64" w:rsidRDefault="00E92BF7">
      <w:pPr>
        <w:snapToGrid w:val="0"/>
        <w:spacing w:line="360" w:lineRule="auto"/>
        <w:ind w:firstLineChars="200" w:firstLine="420"/>
        <w:rPr>
          <w:rFonts w:ascii="宋体" w:hAnsi="宋体"/>
        </w:rPr>
      </w:pPr>
      <w:r>
        <w:rPr>
          <w:rFonts w:ascii="宋体" w:hAnsi="宋体" w:hint="eastAsia"/>
          <w:szCs w:val="21"/>
        </w:rPr>
        <w:t>基金财产清算账册及有关文件由基金托管人保存期限不低于法律法规规定的最低期限。</w:t>
      </w:r>
      <w:bookmarkEnd w:id="350"/>
    </w:p>
    <w:p w:rsidR="00822B64" w:rsidRDefault="00E92BF7">
      <w:pPr>
        <w:pStyle w:val="21"/>
        <w:numPr>
          <w:ilvl w:val="0"/>
          <w:numId w:val="28"/>
        </w:numPr>
        <w:snapToGrid w:val="0"/>
        <w:spacing w:before="0" w:after="0" w:line="360" w:lineRule="auto"/>
        <w:jc w:val="left"/>
        <w:rPr>
          <w:rFonts w:ascii="宋体" w:eastAsia="宋体" w:hAnsi="宋体"/>
        </w:rPr>
      </w:pPr>
      <w:bookmarkStart w:id="351" w:name="_Toc362533469"/>
      <w:bookmarkStart w:id="352" w:name="_Toc360794422"/>
      <w:bookmarkStart w:id="353" w:name="_Toc360793512"/>
      <w:bookmarkStart w:id="354" w:name="_Toc362455197"/>
      <w:bookmarkStart w:id="355" w:name="_Toc48808899"/>
      <w:bookmarkStart w:id="356" w:name="_Toc360794114"/>
      <w:bookmarkStart w:id="357" w:name="_Toc360794530"/>
      <w:bookmarkStart w:id="358" w:name="_Toc360793864"/>
      <w:r>
        <w:rPr>
          <w:rFonts w:ascii="宋体" w:eastAsia="宋体" w:hAnsi="宋体" w:hint="eastAsia"/>
        </w:rPr>
        <w:t>基金份额持有人服务</w:t>
      </w:r>
      <w:bookmarkEnd w:id="351"/>
      <w:bookmarkEnd w:id="352"/>
      <w:bookmarkEnd w:id="353"/>
      <w:bookmarkEnd w:id="354"/>
      <w:bookmarkEnd w:id="355"/>
      <w:bookmarkEnd w:id="356"/>
      <w:bookmarkEnd w:id="357"/>
      <w:bookmarkEnd w:id="358"/>
    </w:p>
    <w:p w:rsidR="00822B64" w:rsidRDefault="00822B64">
      <w:pPr>
        <w:snapToGrid w:val="0"/>
        <w:spacing w:line="360" w:lineRule="auto"/>
        <w:ind w:firstLine="480"/>
        <w:rPr>
          <w:rFonts w:ascii="宋体" w:hAnsi="宋体"/>
          <w:szCs w:val="21"/>
        </w:rPr>
      </w:pPr>
    </w:p>
    <w:p w:rsidR="00822B64" w:rsidRDefault="00E92BF7">
      <w:pPr>
        <w:snapToGrid w:val="0"/>
        <w:spacing w:line="360" w:lineRule="auto"/>
        <w:ind w:firstLine="480"/>
      </w:pPr>
      <w:r>
        <w:rPr>
          <w:rFonts w:hint="eastAsia"/>
        </w:rPr>
        <w:t>如本招募说明书存在任何您</w:t>
      </w:r>
      <w:r>
        <w:rPr>
          <w:rFonts w:hint="eastAsia"/>
        </w:rPr>
        <w:t>/</w:t>
      </w:r>
      <w:r>
        <w:rPr>
          <w:rFonts w:hint="eastAsia"/>
        </w:rPr>
        <w:t>贵机构无法理解的内容，请及时通过下述方式联系基金管理人。请确保投资前，您</w:t>
      </w:r>
      <w:r>
        <w:rPr>
          <w:rFonts w:hint="eastAsia"/>
        </w:rPr>
        <w:t>/</w:t>
      </w:r>
      <w:r>
        <w:rPr>
          <w:rFonts w:hint="eastAsia"/>
        </w:rPr>
        <w:t>贵机构已经全面理解本招募说明书，并同意全部内容。</w:t>
      </w:r>
    </w:p>
    <w:p w:rsidR="00822B64" w:rsidRDefault="00E92BF7">
      <w:pPr>
        <w:snapToGrid w:val="0"/>
        <w:spacing w:line="360" w:lineRule="auto"/>
        <w:ind w:firstLine="480"/>
      </w:pPr>
      <w:r>
        <w:rPr>
          <w:rFonts w:hint="eastAsia"/>
        </w:rPr>
        <w:t>对基金份额持有人的服务主要由基金管理人、发售机构及销售机构提供，以下是基金管理人提供的主要服务内容。基金管理人根据基金份额持有人的需要和市场的变化，有权在符合法律法规的前提下，增加和修改相关服务项目。如因系统、第三方或不可抗力等原因，导致下述服务无法提供，基金管理人不承担任何责任。</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t>一、交易资料的寄送及发送服务</w:t>
      </w:r>
    </w:p>
    <w:p w:rsidR="00822B64" w:rsidRDefault="00E92BF7">
      <w:pPr>
        <w:snapToGrid w:val="0"/>
        <w:spacing w:line="360" w:lineRule="auto"/>
        <w:ind w:firstLine="480"/>
      </w:pPr>
      <w:r>
        <w:rPr>
          <w:rFonts w:hint="eastAsia"/>
        </w:rPr>
        <w:t>1</w:t>
      </w:r>
      <w:r>
        <w:rPr>
          <w:rFonts w:hint="eastAsia"/>
        </w:rPr>
        <w:t>、注册登记人保留基金份额持有人名册上列明的所有基金份额持有人的基金交易记录；</w:t>
      </w:r>
    </w:p>
    <w:p w:rsidR="00822B64" w:rsidRDefault="00E92BF7">
      <w:pPr>
        <w:snapToGrid w:val="0"/>
        <w:spacing w:line="360" w:lineRule="auto"/>
        <w:ind w:firstLine="480"/>
      </w:pPr>
      <w:r>
        <w:rPr>
          <w:rFonts w:hint="eastAsia"/>
        </w:rPr>
        <w:t>2</w:t>
      </w:r>
      <w:r>
        <w:rPr>
          <w:rFonts w:hint="eastAsia"/>
        </w:rPr>
        <w:t>、基金管理人向账单期内发生交易、或账单期末仍持有本基金基金份额的基金份额持有人，按其成功定制的对账单形式，定期或不定期发送对账单，但由于基金份额持有人未详实填写或更新客户资料（含姓名、地址、邮编、联系电话、电子邮箱等）导致基金管理人无法发送，或基金份额持有人未成功定制或主动取消发送的除外；</w:t>
      </w:r>
    </w:p>
    <w:p w:rsidR="00822B64" w:rsidRDefault="00E92BF7">
      <w:pPr>
        <w:snapToGrid w:val="0"/>
        <w:spacing w:line="360" w:lineRule="auto"/>
        <w:ind w:firstLine="480"/>
      </w:pPr>
      <w:r>
        <w:rPr>
          <w:rFonts w:hint="eastAsia"/>
        </w:rPr>
        <w:t>3</w:t>
      </w:r>
      <w:r>
        <w:rPr>
          <w:rFonts w:hint="eastAsia"/>
        </w:rPr>
        <w:t>、其他相关的信息资料。</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t>二、网上交易服务</w:t>
      </w:r>
    </w:p>
    <w:p w:rsidR="00822B64" w:rsidRDefault="00E92BF7">
      <w:pPr>
        <w:snapToGrid w:val="0"/>
        <w:spacing w:line="360" w:lineRule="auto"/>
        <w:ind w:firstLine="480"/>
      </w:pPr>
      <w:r>
        <w:rPr>
          <w:rFonts w:hint="eastAsia"/>
        </w:rPr>
        <w:t>基金管理人已开通个人投资者网上交易业务。个人投资者通过基金管理人网上交易平台可以办理基金认购、申购、赎回、分红方式修改、账户资料修改、交易密码修改、交易申请查询和账户资料查询等各类业务。</w:t>
      </w:r>
    </w:p>
    <w:p w:rsidR="00822B64" w:rsidRDefault="00E92BF7">
      <w:pPr>
        <w:snapToGrid w:val="0"/>
        <w:spacing w:line="360" w:lineRule="auto"/>
        <w:ind w:firstLine="480"/>
      </w:pPr>
      <w:r>
        <w:rPr>
          <w:rFonts w:hint="eastAsia"/>
        </w:rPr>
        <w:t>在技术条件成熟时，基金管理人还将提供支持其他银行卡种的网上交易业务。</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t>三、客户服务中心电话服务</w:t>
      </w:r>
    </w:p>
    <w:p w:rsidR="00822B64" w:rsidRDefault="00E92BF7">
      <w:pPr>
        <w:snapToGrid w:val="0"/>
        <w:spacing w:line="360" w:lineRule="auto"/>
        <w:ind w:firstLine="480"/>
      </w:pPr>
      <w:r>
        <w:rPr>
          <w:rFonts w:hint="eastAsia"/>
        </w:rPr>
        <w:t>客户服务中心提供</w:t>
      </w:r>
      <w:r>
        <w:rPr>
          <w:rFonts w:hint="eastAsia"/>
        </w:rPr>
        <w:t>24</w:t>
      </w:r>
      <w:r>
        <w:rPr>
          <w:rFonts w:hint="eastAsia"/>
        </w:rPr>
        <w:t>小时自动语音查询服务。基金份额持有人可进行基金账户余额、申购与赎回交易情况查询与基金产品等信息的查询。</w:t>
      </w:r>
    </w:p>
    <w:p w:rsidR="00822B64" w:rsidRDefault="00E92BF7">
      <w:pPr>
        <w:snapToGrid w:val="0"/>
        <w:spacing w:line="360" w:lineRule="auto"/>
        <w:ind w:firstLine="480"/>
      </w:pPr>
      <w:r>
        <w:rPr>
          <w:rFonts w:hint="eastAsia"/>
        </w:rPr>
        <w:t>客户服务中心提供人工热线咨询服务，服务时间：周一至周五</w:t>
      </w:r>
      <w:r>
        <w:t>9:00</w:t>
      </w:r>
      <w:r>
        <w:rPr>
          <w:rFonts w:hint="eastAsia"/>
        </w:rPr>
        <w:t>至</w:t>
      </w:r>
      <w:r>
        <w:t>17:00</w:t>
      </w:r>
      <w:r>
        <w:rPr>
          <w:rFonts w:hint="eastAsia"/>
        </w:rPr>
        <w:t>（法定节假日除外），基金份额持有人可通过客服热线电话：</w:t>
      </w:r>
      <w:r>
        <w:rPr>
          <w:rFonts w:hint="eastAsia"/>
        </w:rPr>
        <w:t>400-959-5531</w:t>
      </w:r>
      <w:r>
        <w:rPr>
          <w:rFonts w:hint="eastAsia"/>
        </w:rPr>
        <w:t>享受业务咨询、信息查询、服务投诉、信息定制、对账单寄送地址资料修改等专项服务。</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lastRenderedPageBreak/>
        <w:t>四、定期定额投资计划</w:t>
      </w:r>
    </w:p>
    <w:p w:rsidR="00822B64" w:rsidRDefault="00E92BF7">
      <w:pPr>
        <w:snapToGrid w:val="0"/>
        <w:spacing w:line="360" w:lineRule="auto"/>
        <w:ind w:firstLine="480"/>
      </w:pPr>
      <w:r>
        <w:rPr>
          <w:rFonts w:hint="eastAsia"/>
        </w:rPr>
        <w:t>基金管理人可通过基金管理人网站</w:t>
      </w:r>
      <w:r>
        <w:rPr>
          <w:rFonts w:hint="eastAsia"/>
        </w:rPr>
        <w:t>www.donghaifunds.com</w:t>
      </w:r>
      <w:r>
        <w:rPr>
          <w:rFonts w:hint="eastAsia"/>
        </w:rPr>
        <w:t>和销售机构为投资者提供定期定额投资服务。通过定期定额投资计划，投资者可以通过销售渠道定期定额申购基金份额。定期定额投资计划的有关规则另行公告。</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t>五、信息定制服务</w:t>
      </w:r>
    </w:p>
    <w:p w:rsidR="00822B64" w:rsidRDefault="00E92BF7">
      <w:pPr>
        <w:snapToGrid w:val="0"/>
        <w:spacing w:line="360" w:lineRule="auto"/>
        <w:ind w:firstLine="480"/>
      </w:pPr>
      <w:r>
        <w:rPr>
          <w:rFonts w:hint="eastAsia"/>
        </w:rPr>
        <w:t>基金份额持有人可以登录拨打客服热线电话提交信息定制申请。基金管理人通过手机短信、电子邮件或其他方式按基金份额持有人的定制提供信息。可定制的信息包括：每周基金净值信息、交易确认信息、投资者服务刊物、分红公告、公司公告等。基金管理人可以根据实际业务需要，调整定制信息的条件、方式和内容。</w:t>
      </w:r>
    </w:p>
    <w:p w:rsidR="00822B64" w:rsidRDefault="00822B64">
      <w:pPr>
        <w:snapToGrid w:val="0"/>
        <w:spacing w:line="360" w:lineRule="auto"/>
        <w:ind w:firstLine="480"/>
      </w:pPr>
    </w:p>
    <w:p w:rsidR="00822B64" w:rsidRDefault="00E92BF7">
      <w:pPr>
        <w:snapToGrid w:val="0"/>
        <w:spacing w:line="360" w:lineRule="auto"/>
        <w:ind w:firstLine="480"/>
      </w:pPr>
      <w:r>
        <w:rPr>
          <w:rFonts w:hint="eastAsia"/>
        </w:rPr>
        <w:t>六、投资者投诉受理服务</w:t>
      </w:r>
    </w:p>
    <w:p w:rsidR="00822B64" w:rsidRDefault="00E92BF7">
      <w:pPr>
        <w:snapToGrid w:val="0"/>
        <w:spacing w:line="360" w:lineRule="auto"/>
        <w:ind w:firstLine="480"/>
      </w:pPr>
      <w:r>
        <w:rPr>
          <w:rFonts w:hint="eastAsia"/>
        </w:rPr>
        <w:t>投资者可以通过销售机构网点或基金管理人客服热线电话、信函及电子邮件等形式对基金管理人或销售网点所提供的服务进行投诉。</w:t>
      </w:r>
    </w:p>
    <w:p w:rsidR="00822B64" w:rsidRDefault="00E92BF7">
      <w:pPr>
        <w:snapToGrid w:val="0"/>
        <w:spacing w:line="360" w:lineRule="auto"/>
        <w:ind w:firstLine="480"/>
      </w:pPr>
      <w:r>
        <w:rPr>
          <w:rFonts w:hint="eastAsia"/>
        </w:rPr>
        <w:t>客服热线电话投诉、电子邮件投诉、信函投诉是主要投诉受理渠道，基金管理人客户服务部负责管理投诉电话、投诉邮箱。现场投诉和意见簿投诉是补充投诉渠道，由各销售机构和基金管理人分别管理。</w:t>
      </w:r>
    </w:p>
    <w:p w:rsidR="00822B64" w:rsidRDefault="00E92BF7">
      <w:pPr>
        <w:snapToGrid w:val="0"/>
        <w:spacing w:line="360" w:lineRule="auto"/>
        <w:ind w:firstLine="480"/>
      </w:pPr>
      <w:r>
        <w:rPr>
          <w:rFonts w:hint="eastAsia"/>
        </w:rPr>
        <w:t>对于工作日期间受理的投诉，原则上是及时回复；对于不能及时回复的投诉，基金管理人承诺在投诉送达基金管理人的</w:t>
      </w:r>
      <w:r>
        <w:rPr>
          <w:rFonts w:hint="eastAsia"/>
        </w:rPr>
        <w:t>24</w:t>
      </w:r>
      <w:r>
        <w:rPr>
          <w:rFonts w:hint="eastAsia"/>
        </w:rPr>
        <w:t>小时之内做出回复。对于非工作日提出的投诉，顺延至下一工作日完成回复。</w:t>
      </w:r>
    </w:p>
    <w:p w:rsidR="00822B64" w:rsidRDefault="00E92BF7">
      <w:pPr>
        <w:snapToGrid w:val="0"/>
        <w:spacing w:line="360" w:lineRule="auto"/>
        <w:ind w:firstLine="480"/>
      </w:pPr>
      <w:r>
        <w:rPr>
          <w:rFonts w:hint="eastAsia"/>
        </w:rPr>
        <w:t>客户服务部邮箱：</w:t>
      </w:r>
      <w:hyperlink r:id="rId17" w:history="1">
        <w:r>
          <w:t>service@donghaifunds.com</w:t>
        </w:r>
      </w:hyperlink>
    </w:p>
    <w:p w:rsidR="00822B64" w:rsidRDefault="00E92BF7">
      <w:pPr>
        <w:snapToGrid w:val="0"/>
        <w:spacing w:line="360" w:lineRule="auto"/>
        <w:ind w:firstLine="480"/>
      </w:pPr>
      <w: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59" w:name="_Toc360794423"/>
      <w:bookmarkStart w:id="360" w:name="_Toc362533470"/>
      <w:bookmarkStart w:id="361" w:name="_Toc360793513"/>
      <w:bookmarkStart w:id="362" w:name="_Toc360794115"/>
      <w:bookmarkStart w:id="363" w:name="_Toc360793865"/>
      <w:bookmarkStart w:id="364" w:name="_Toc362455198"/>
      <w:bookmarkStart w:id="365" w:name="_Toc48808900"/>
      <w:bookmarkStart w:id="366" w:name="_Toc360794531"/>
      <w:r>
        <w:rPr>
          <w:rFonts w:ascii="宋体" w:eastAsia="宋体" w:hAnsi="宋体" w:hint="eastAsia"/>
        </w:rPr>
        <w:lastRenderedPageBreak/>
        <w:t>其他应披露事项</w:t>
      </w:r>
      <w:bookmarkEnd w:id="359"/>
      <w:bookmarkEnd w:id="360"/>
      <w:bookmarkEnd w:id="361"/>
      <w:bookmarkEnd w:id="362"/>
      <w:bookmarkEnd w:id="363"/>
      <w:bookmarkEnd w:id="364"/>
      <w:bookmarkEnd w:id="365"/>
      <w:bookmarkEnd w:id="366"/>
    </w:p>
    <w:tbl>
      <w:tblPr>
        <w:tblW w:w="0" w:type="auto"/>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9"/>
        <w:gridCol w:w="2205"/>
      </w:tblGrid>
      <w:tr w:rsidR="004A1B13" w:rsidTr="00D011AC">
        <w:tc>
          <w:tcPr>
            <w:tcW w:w="6349" w:type="dxa"/>
            <w:tcBorders>
              <w:bottom w:val="single" w:sz="4" w:space="0" w:color="auto"/>
            </w:tcBorders>
            <w:shd w:val="clear" w:color="auto" w:fill="auto"/>
          </w:tcPr>
          <w:p w:rsidR="004A1B13" w:rsidRDefault="004A1B13" w:rsidP="00D011AC">
            <w:pPr>
              <w:jc w:val="center"/>
              <w:rPr>
                <w:rFonts w:ascii="宋体" w:hAnsi="宋体" w:cs="宋体"/>
                <w:szCs w:val="21"/>
              </w:rPr>
            </w:pPr>
            <w:r>
              <w:rPr>
                <w:rFonts w:ascii="宋体" w:hAnsi="宋体" w:cs="宋体" w:hint="eastAsia"/>
                <w:szCs w:val="21"/>
              </w:rPr>
              <w:t>公告事项</w:t>
            </w:r>
          </w:p>
        </w:tc>
        <w:tc>
          <w:tcPr>
            <w:tcW w:w="2205" w:type="dxa"/>
            <w:tcBorders>
              <w:bottom w:val="single" w:sz="4" w:space="0" w:color="auto"/>
            </w:tcBorders>
            <w:shd w:val="clear" w:color="auto" w:fill="auto"/>
          </w:tcPr>
          <w:p w:rsidR="004A1B13" w:rsidRDefault="004A1B13" w:rsidP="00D011AC">
            <w:pPr>
              <w:jc w:val="center"/>
              <w:rPr>
                <w:rFonts w:ascii="宋体" w:hAnsi="宋体" w:cs="宋体"/>
                <w:szCs w:val="21"/>
              </w:rPr>
            </w:pPr>
            <w:r>
              <w:rPr>
                <w:rFonts w:ascii="宋体" w:hAnsi="宋体" w:cs="宋体" w:hint="eastAsia"/>
                <w:szCs w:val="21"/>
              </w:rPr>
              <w:t>披露日期</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个月定期开放债券型证券投资基金基金经理变更公告</w:t>
            </w:r>
          </w:p>
        </w:tc>
        <w:tc>
          <w:tcPr>
            <w:tcW w:w="2205" w:type="dxa"/>
          </w:tcPr>
          <w:p w:rsidR="004A1B13" w:rsidRPr="00963B85" w:rsidRDefault="004A1B13" w:rsidP="00D011AC">
            <w:pPr>
              <w:jc w:val="center"/>
              <w:rPr>
                <w:rFonts w:ascii="宋体" w:hAnsi="宋体" w:cs="宋体"/>
                <w:szCs w:val="21"/>
              </w:rPr>
            </w:pPr>
            <w:r>
              <w:rPr>
                <w:rFonts w:ascii="宋体" w:hAnsi="宋体" w:cs="宋体"/>
                <w:szCs w:val="21"/>
              </w:rPr>
              <w:t>2022</w:t>
            </w:r>
            <w:r>
              <w:rPr>
                <w:rFonts w:ascii="宋体" w:hAnsi="宋体" w:cs="宋体" w:hint="eastAsia"/>
                <w:szCs w:val="21"/>
              </w:rPr>
              <w:t>年03月1</w:t>
            </w:r>
            <w:r>
              <w:rPr>
                <w:rFonts w:ascii="宋体" w:hAnsi="宋体" w:cs="宋体"/>
                <w:szCs w:val="21"/>
              </w:rPr>
              <w:t>5</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个月定期开放债券型证券投资基金招募说明书（更新）（</w:t>
            </w:r>
            <w:r>
              <w:rPr>
                <w:rFonts w:hint="eastAsia"/>
              </w:rPr>
              <w:t>2</w:t>
            </w:r>
            <w:r>
              <w:t>022</w:t>
            </w:r>
            <w:r>
              <w:rPr>
                <w:rFonts w:hint="eastAsia"/>
              </w:rPr>
              <w:t>年</w:t>
            </w:r>
            <w:r>
              <w:rPr>
                <w:rFonts w:hint="eastAsia"/>
              </w:rPr>
              <w:t>1</w:t>
            </w:r>
            <w:r>
              <w:rPr>
                <w:rFonts w:hint="eastAsia"/>
              </w:rPr>
              <w:t>号）</w:t>
            </w:r>
          </w:p>
        </w:tc>
        <w:tc>
          <w:tcPr>
            <w:tcW w:w="2205" w:type="dxa"/>
            <w:vAlign w:val="center"/>
          </w:tcPr>
          <w:p w:rsidR="004A1B13" w:rsidRPr="00963B85" w:rsidRDefault="004A1B13" w:rsidP="00D011AC">
            <w:pPr>
              <w:jc w:val="cente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3</w:t>
            </w:r>
            <w:r>
              <w:rPr>
                <w:rFonts w:ascii="宋体" w:hAnsi="宋体" w:cs="宋体" w:hint="eastAsia"/>
                <w:szCs w:val="21"/>
              </w:rPr>
              <w:t>月1</w:t>
            </w:r>
            <w:r>
              <w:rPr>
                <w:rFonts w:ascii="宋体" w:hAnsi="宋体" w:cs="宋体"/>
                <w:szCs w:val="21"/>
              </w:rPr>
              <w:t>7</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 xml:space="preserve"> 66 </w:t>
            </w:r>
            <w:r>
              <w:rPr>
                <w:rFonts w:hint="eastAsia"/>
              </w:rPr>
              <w:t>个月定期开放债券型证券投资基金基金产品资料概要（更新）</w:t>
            </w:r>
          </w:p>
        </w:tc>
        <w:tc>
          <w:tcPr>
            <w:tcW w:w="2205" w:type="dxa"/>
            <w:vAlign w:val="center"/>
          </w:tcPr>
          <w:p w:rsidR="004A1B13" w:rsidRPr="00963B85" w:rsidRDefault="004A1B13" w:rsidP="00D011AC">
            <w:pPr>
              <w:jc w:val="cente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3</w:t>
            </w:r>
            <w:r>
              <w:rPr>
                <w:rFonts w:ascii="宋体" w:hAnsi="宋体" w:cs="宋体" w:hint="eastAsia"/>
                <w:szCs w:val="21"/>
              </w:rPr>
              <w:t>月1</w:t>
            </w:r>
            <w:r>
              <w:rPr>
                <w:rFonts w:ascii="宋体" w:hAnsi="宋体" w:cs="宋体"/>
                <w:szCs w:val="21"/>
              </w:rPr>
              <w:t>7</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2021</w:t>
            </w:r>
            <w:r>
              <w:rPr>
                <w:rFonts w:hint="eastAsia"/>
              </w:rPr>
              <w:t>年年度报告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3</w:t>
            </w:r>
            <w:r>
              <w:rPr>
                <w:rFonts w:ascii="宋体" w:hAnsi="宋体" w:cs="宋体" w:hint="eastAsia"/>
                <w:szCs w:val="21"/>
              </w:rPr>
              <w:t>月3</w:t>
            </w:r>
            <w:r>
              <w:rPr>
                <w:rFonts w:ascii="宋体" w:hAnsi="宋体" w:cs="宋体"/>
                <w:szCs w:val="21"/>
              </w:rPr>
              <w:t>1</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sidRPr="00963B85">
              <w:rPr>
                <w:rFonts w:hint="eastAsia"/>
              </w:rPr>
              <w:t>东海基金管理有限责任公司高级管理人员变更公告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4</w:t>
            </w:r>
            <w:r>
              <w:rPr>
                <w:rFonts w:ascii="宋体" w:hAnsi="宋体" w:cs="宋体" w:hint="eastAsia"/>
                <w:szCs w:val="21"/>
              </w:rPr>
              <w:t>月0</w:t>
            </w:r>
            <w:r>
              <w:rPr>
                <w:rFonts w:ascii="宋体" w:hAnsi="宋体" w:cs="宋体"/>
                <w:szCs w:val="21"/>
              </w:rPr>
              <w:t>1</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w:t>
            </w:r>
            <w:r>
              <w:t>2</w:t>
            </w:r>
            <w:r>
              <w:rPr>
                <w:rFonts w:hint="eastAsia"/>
              </w:rPr>
              <w:t>年第</w:t>
            </w:r>
            <w:r>
              <w:rPr>
                <w:rFonts w:hint="eastAsia"/>
              </w:rPr>
              <w:t>1</w:t>
            </w:r>
            <w:r>
              <w:rPr>
                <w:rFonts w:hint="eastAsia"/>
              </w:rPr>
              <w:t>季度报告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4</w:t>
            </w:r>
            <w:r>
              <w:rPr>
                <w:rFonts w:ascii="宋体" w:hAnsi="宋体" w:cs="宋体" w:hint="eastAsia"/>
                <w:szCs w:val="21"/>
              </w:rPr>
              <w:t>月2</w:t>
            </w:r>
            <w:r>
              <w:rPr>
                <w:rFonts w:ascii="宋体" w:hAnsi="宋体" w:cs="宋体"/>
                <w:szCs w:val="21"/>
              </w:rPr>
              <w:t>2</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w:t>
            </w:r>
            <w:r>
              <w:t>2</w:t>
            </w:r>
            <w:r>
              <w:rPr>
                <w:rFonts w:hint="eastAsia"/>
              </w:rPr>
              <w:t>年第</w:t>
            </w:r>
            <w:r>
              <w:t>2</w:t>
            </w:r>
            <w:r>
              <w:rPr>
                <w:rFonts w:hint="eastAsia"/>
              </w:rPr>
              <w:t>季度报告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7</w:t>
            </w:r>
            <w:r>
              <w:rPr>
                <w:rFonts w:ascii="宋体" w:hAnsi="宋体" w:cs="宋体" w:hint="eastAsia"/>
                <w:szCs w:val="21"/>
              </w:rPr>
              <w:t>月2</w:t>
            </w:r>
            <w:r>
              <w:rPr>
                <w:rFonts w:ascii="宋体" w:hAnsi="宋体" w:cs="宋体"/>
                <w:szCs w:val="21"/>
              </w:rPr>
              <w:t>1</w:t>
            </w:r>
            <w:r>
              <w:rPr>
                <w:rFonts w:ascii="宋体" w:hAnsi="宋体" w:cs="宋体" w:hint="eastAsia"/>
                <w:szCs w:val="21"/>
              </w:rPr>
              <w:t>日</w:t>
            </w:r>
          </w:p>
        </w:tc>
      </w:tr>
      <w:tr w:rsidR="004A1B13" w:rsidTr="00D011AC">
        <w:trPr>
          <w:trHeight w:val="314"/>
        </w:trPr>
        <w:tc>
          <w:tcPr>
            <w:tcW w:w="6349" w:type="dxa"/>
          </w:tcPr>
          <w:p w:rsidR="004A1B13" w:rsidRPr="00963B85" w:rsidRDefault="004A1B13" w:rsidP="00D011AC">
            <w:pPr>
              <w:jc w:val="left"/>
            </w:pPr>
            <w:r w:rsidRPr="003754C7">
              <w:rPr>
                <w:rFonts w:hint="eastAsia"/>
              </w:rPr>
              <w:t>东海基金管理有限责任公司关于基金经理暂停履行职务的公告</w:t>
            </w:r>
          </w:p>
        </w:tc>
        <w:tc>
          <w:tcPr>
            <w:tcW w:w="2205" w:type="dxa"/>
            <w:vAlign w:val="center"/>
          </w:tcPr>
          <w:p w:rsidR="004A1B13" w:rsidRPr="00963B85"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8</w:t>
            </w:r>
            <w:r>
              <w:rPr>
                <w:rFonts w:ascii="宋体" w:hAnsi="宋体" w:cs="宋体" w:hint="eastAsia"/>
                <w:szCs w:val="21"/>
              </w:rPr>
              <w:t>月1</w:t>
            </w:r>
            <w:r>
              <w:rPr>
                <w:rFonts w:ascii="宋体" w:hAnsi="宋体" w:cs="宋体"/>
                <w:szCs w:val="21"/>
              </w:rPr>
              <w:t>3</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sidRPr="00963B85">
              <w:rPr>
                <w:rFonts w:hint="eastAsia"/>
              </w:rPr>
              <w:t>东海基金管理有限责任公司关于董事长变更的公告</w:t>
            </w:r>
          </w:p>
        </w:tc>
        <w:tc>
          <w:tcPr>
            <w:tcW w:w="2205" w:type="dxa"/>
            <w:vAlign w:val="center"/>
          </w:tcPr>
          <w:p w:rsidR="004A1B13" w:rsidRDefault="004A1B13" w:rsidP="00D011AC">
            <w:pPr>
              <w:jc w:val="center"/>
              <w:rPr>
                <w:rFonts w:ascii="宋体" w:hAnsi="宋体" w:cs="宋体"/>
                <w:szCs w:val="21"/>
              </w:rPr>
            </w:pPr>
            <w:r w:rsidRPr="00963B85">
              <w:rPr>
                <w:rFonts w:ascii="宋体" w:hAnsi="宋体" w:cs="宋体" w:hint="eastAsia"/>
                <w:szCs w:val="21"/>
              </w:rPr>
              <w:t>2022年08月19日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w:t>
            </w:r>
            <w:r>
              <w:t>2</w:t>
            </w:r>
            <w:r>
              <w:rPr>
                <w:rFonts w:hint="eastAsia"/>
              </w:rPr>
              <w:t>年中期报告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8</w:t>
            </w:r>
            <w:r>
              <w:rPr>
                <w:rFonts w:ascii="宋体" w:hAnsi="宋体" w:cs="宋体" w:hint="eastAsia"/>
                <w:szCs w:val="21"/>
              </w:rPr>
              <w:t>月3</w:t>
            </w:r>
            <w:r>
              <w:rPr>
                <w:rFonts w:ascii="宋体" w:hAnsi="宋体" w:cs="宋体"/>
                <w:szCs w:val="21"/>
              </w:rPr>
              <w:t>1</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sidRPr="00963B85">
              <w:rPr>
                <w:rFonts w:hint="eastAsia"/>
              </w:rPr>
              <w:t>东海基金管理有限责任公司高级管理人员变更公告</w:t>
            </w:r>
          </w:p>
        </w:tc>
        <w:tc>
          <w:tcPr>
            <w:tcW w:w="2205" w:type="dxa"/>
            <w:vAlign w:val="center"/>
          </w:tcPr>
          <w:p w:rsidR="004A1B13" w:rsidRDefault="004A1B13" w:rsidP="00D011AC">
            <w:pPr>
              <w:jc w:val="center"/>
              <w:rPr>
                <w:rFonts w:ascii="宋体" w:hAnsi="宋体" w:cs="宋体"/>
                <w:szCs w:val="21"/>
              </w:rPr>
            </w:pPr>
            <w:r w:rsidRPr="00963B85">
              <w:rPr>
                <w:rFonts w:ascii="宋体" w:hAnsi="宋体" w:cs="宋体" w:hint="eastAsia"/>
                <w:szCs w:val="21"/>
              </w:rPr>
              <w:t>2022年09月22日</w:t>
            </w:r>
          </w:p>
        </w:tc>
      </w:tr>
      <w:tr w:rsidR="004A1B13" w:rsidTr="00D011AC">
        <w:trPr>
          <w:trHeight w:val="314"/>
        </w:trPr>
        <w:tc>
          <w:tcPr>
            <w:tcW w:w="6349" w:type="dxa"/>
          </w:tcPr>
          <w:p w:rsidR="004A1B13" w:rsidRDefault="004A1B13" w:rsidP="00D011AC">
            <w:pPr>
              <w:jc w:val="left"/>
            </w:pPr>
            <w:r w:rsidRPr="00963B85">
              <w:rPr>
                <w:rFonts w:hint="eastAsia"/>
              </w:rPr>
              <w:t>东海基金管理有限责任公司高级管理人员变更公告</w:t>
            </w:r>
          </w:p>
        </w:tc>
        <w:tc>
          <w:tcPr>
            <w:tcW w:w="2205" w:type="dxa"/>
            <w:vAlign w:val="center"/>
          </w:tcPr>
          <w:p w:rsidR="004A1B13" w:rsidRDefault="004A1B13" w:rsidP="00D011AC">
            <w:pPr>
              <w:jc w:val="center"/>
              <w:rPr>
                <w:rFonts w:ascii="宋体" w:hAnsi="宋体" w:cs="宋体"/>
                <w:szCs w:val="21"/>
              </w:rPr>
            </w:pPr>
            <w:r w:rsidRPr="00963B85">
              <w:rPr>
                <w:rFonts w:ascii="宋体" w:hAnsi="宋体" w:cs="宋体" w:hint="eastAsia"/>
                <w:szCs w:val="21"/>
              </w:rPr>
              <w:t>2022年09月30日</w:t>
            </w:r>
          </w:p>
        </w:tc>
      </w:tr>
      <w:tr w:rsidR="004A1B13" w:rsidTr="00D011AC">
        <w:trPr>
          <w:trHeight w:val="314"/>
        </w:trPr>
        <w:tc>
          <w:tcPr>
            <w:tcW w:w="6349" w:type="dxa"/>
          </w:tcPr>
          <w:p w:rsidR="004A1B13" w:rsidRDefault="004A1B13" w:rsidP="00D011AC">
            <w:pPr>
              <w:jc w:val="left"/>
            </w:pPr>
            <w:r w:rsidRPr="00963B85">
              <w:rPr>
                <w:rFonts w:hint="eastAsia"/>
              </w:rPr>
              <w:t>东海基金管理有限责任公司旗下基金改聘会计师事务所公告</w:t>
            </w:r>
          </w:p>
        </w:tc>
        <w:tc>
          <w:tcPr>
            <w:tcW w:w="2205" w:type="dxa"/>
            <w:vAlign w:val="center"/>
          </w:tcPr>
          <w:p w:rsidR="004A1B13" w:rsidRDefault="004A1B13" w:rsidP="00D011AC">
            <w:pPr>
              <w:jc w:val="center"/>
              <w:rPr>
                <w:rFonts w:ascii="宋体" w:hAnsi="宋体" w:cs="宋体"/>
                <w:szCs w:val="21"/>
              </w:rPr>
            </w:pPr>
            <w:r w:rsidRPr="00963B85">
              <w:rPr>
                <w:rFonts w:ascii="宋体" w:hAnsi="宋体" w:cs="宋体" w:hint="eastAsia"/>
                <w:szCs w:val="21"/>
              </w:rPr>
              <w:t>2022年10月26日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w:t>
            </w:r>
            <w:r>
              <w:t>2</w:t>
            </w:r>
            <w:r>
              <w:rPr>
                <w:rFonts w:hint="eastAsia"/>
              </w:rPr>
              <w:t>年第</w:t>
            </w:r>
            <w:r>
              <w:t>3</w:t>
            </w:r>
            <w:r>
              <w:rPr>
                <w:rFonts w:hint="eastAsia"/>
              </w:rPr>
              <w:t>季度报告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年1</w:t>
            </w:r>
            <w:r>
              <w:rPr>
                <w:rFonts w:ascii="宋体" w:hAnsi="宋体" w:cs="宋体"/>
                <w:szCs w:val="21"/>
              </w:rPr>
              <w:t>0</w:t>
            </w:r>
            <w:r>
              <w:rPr>
                <w:rFonts w:ascii="宋体" w:hAnsi="宋体" w:cs="宋体" w:hint="eastAsia"/>
                <w:szCs w:val="21"/>
              </w:rPr>
              <w:t>月2</w:t>
            </w:r>
            <w:r>
              <w:rPr>
                <w:rFonts w:ascii="宋体" w:hAnsi="宋体" w:cs="宋体"/>
                <w:szCs w:val="21"/>
              </w:rPr>
              <w:t>6</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Pr>
                <w:rFonts w:hint="eastAsia"/>
              </w:rPr>
              <w:t>东海鑫享</w:t>
            </w:r>
            <w:r>
              <w:rPr>
                <w:rFonts w:hint="eastAsia"/>
              </w:rPr>
              <w:t>66</w:t>
            </w:r>
            <w:r>
              <w:rPr>
                <w:rFonts w:hint="eastAsia"/>
              </w:rPr>
              <w:t>个月定期开放债券型证券投资基金</w:t>
            </w:r>
            <w:r>
              <w:rPr>
                <w:rFonts w:hint="eastAsia"/>
              </w:rPr>
              <w:t>202</w:t>
            </w:r>
            <w:r>
              <w:t>2</w:t>
            </w:r>
            <w:r>
              <w:rPr>
                <w:rFonts w:hint="eastAsia"/>
              </w:rPr>
              <w:t>年第</w:t>
            </w:r>
            <w:r>
              <w:t>4</w:t>
            </w:r>
            <w:r>
              <w:rPr>
                <w:rFonts w:hint="eastAsia"/>
              </w:rPr>
              <w:t>季度报告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023</w:t>
            </w:r>
            <w:r>
              <w:rPr>
                <w:rFonts w:ascii="宋体" w:hAnsi="宋体" w:cs="宋体" w:hint="eastAsia"/>
                <w:szCs w:val="21"/>
              </w:rPr>
              <w:t>年0</w:t>
            </w:r>
            <w:r>
              <w:rPr>
                <w:rFonts w:ascii="宋体" w:hAnsi="宋体" w:cs="宋体"/>
                <w:szCs w:val="21"/>
              </w:rPr>
              <w:t>1</w:t>
            </w:r>
            <w:r>
              <w:rPr>
                <w:rFonts w:ascii="宋体" w:hAnsi="宋体" w:cs="宋体" w:hint="eastAsia"/>
                <w:szCs w:val="21"/>
              </w:rPr>
              <w:t>月2</w:t>
            </w:r>
            <w:r>
              <w:rPr>
                <w:rFonts w:ascii="宋体" w:hAnsi="宋体" w:cs="宋体"/>
                <w:szCs w:val="21"/>
              </w:rPr>
              <w:t>0</w:t>
            </w:r>
            <w:r>
              <w:rPr>
                <w:rFonts w:ascii="宋体" w:hAnsi="宋体" w:cs="宋体" w:hint="eastAsia"/>
                <w:szCs w:val="21"/>
              </w:rPr>
              <w:t>日</w:t>
            </w:r>
          </w:p>
        </w:tc>
      </w:tr>
      <w:tr w:rsidR="004A1B13" w:rsidTr="00D011AC">
        <w:trPr>
          <w:trHeight w:val="314"/>
        </w:trPr>
        <w:tc>
          <w:tcPr>
            <w:tcW w:w="6349" w:type="dxa"/>
          </w:tcPr>
          <w:p w:rsidR="004A1B13" w:rsidRDefault="004A1B13" w:rsidP="00D011AC">
            <w:pPr>
              <w:jc w:val="left"/>
            </w:pPr>
            <w:r w:rsidRPr="003754C7">
              <w:rPr>
                <w:rFonts w:hint="eastAsia"/>
              </w:rPr>
              <w:t>东海基金管理有限责任公司关于基金经理恢复履行职务的公告</w:t>
            </w:r>
          </w:p>
        </w:tc>
        <w:tc>
          <w:tcPr>
            <w:tcW w:w="2205" w:type="dxa"/>
            <w:vAlign w:val="center"/>
          </w:tcPr>
          <w:p w:rsidR="004A1B13" w:rsidRDefault="004A1B13" w:rsidP="00D011AC">
            <w:pPr>
              <w:jc w:val="center"/>
              <w:rPr>
                <w:rFonts w:ascii="宋体" w:hAnsi="宋体" w:cs="宋体"/>
                <w:szCs w:val="21"/>
              </w:rPr>
            </w:pPr>
            <w:r>
              <w:rPr>
                <w:rFonts w:ascii="宋体" w:hAnsi="宋体" w:cs="宋体" w:hint="eastAsia"/>
                <w:szCs w:val="21"/>
              </w:rPr>
              <w:t>2</w:t>
            </w:r>
            <w:r>
              <w:rPr>
                <w:rFonts w:ascii="宋体" w:hAnsi="宋体" w:cs="宋体"/>
                <w:szCs w:val="21"/>
              </w:rPr>
              <w:t>023</w:t>
            </w:r>
            <w:r>
              <w:rPr>
                <w:rFonts w:ascii="宋体" w:hAnsi="宋体" w:cs="宋体" w:hint="eastAsia"/>
                <w:szCs w:val="21"/>
              </w:rPr>
              <w:t>年0</w:t>
            </w:r>
            <w:r>
              <w:rPr>
                <w:rFonts w:ascii="宋体" w:hAnsi="宋体" w:cs="宋体"/>
                <w:szCs w:val="21"/>
              </w:rPr>
              <w:t>2</w:t>
            </w:r>
            <w:r>
              <w:rPr>
                <w:rFonts w:ascii="宋体" w:hAnsi="宋体" w:cs="宋体" w:hint="eastAsia"/>
                <w:szCs w:val="21"/>
              </w:rPr>
              <w:t>月1</w:t>
            </w:r>
            <w:r>
              <w:rPr>
                <w:rFonts w:ascii="宋体" w:hAnsi="宋体" w:cs="宋体"/>
                <w:szCs w:val="21"/>
              </w:rPr>
              <w:t>7</w:t>
            </w:r>
            <w:r>
              <w:rPr>
                <w:rFonts w:ascii="宋体" w:hAnsi="宋体" w:cs="宋体" w:hint="eastAsia"/>
                <w:szCs w:val="21"/>
              </w:rPr>
              <w:t>日</w:t>
            </w:r>
          </w:p>
        </w:tc>
      </w:tr>
    </w:tbl>
    <w:p w:rsidR="00822B64" w:rsidRDefault="00822B64">
      <w:pPr>
        <w:adjustRightInd w:val="0"/>
        <w:snapToGrid w:val="0"/>
        <w:spacing w:line="360" w:lineRule="auto"/>
        <w:ind w:firstLineChars="200" w:firstLine="420"/>
        <w:rPr>
          <w:rFonts w:ascii="宋体" w:hAnsi="宋体"/>
          <w:szCs w:val="21"/>
        </w:rPr>
      </w:pPr>
    </w:p>
    <w:p w:rsidR="00822B64" w:rsidRDefault="00822B64">
      <w:pPr>
        <w:adjustRightInd w:val="0"/>
        <w:snapToGrid w:val="0"/>
        <w:spacing w:line="360" w:lineRule="auto"/>
        <w:ind w:firstLineChars="200" w:firstLine="420"/>
        <w:rPr>
          <w:rFonts w:ascii="宋体" w:hAnsi="宋体"/>
        </w:rPr>
      </w:pPr>
    </w:p>
    <w:p w:rsidR="00822B64" w:rsidRDefault="00E92BF7">
      <w:pPr>
        <w:adjustRightInd w:val="0"/>
        <w:snapToGrid w:val="0"/>
        <w:spacing w:line="360" w:lineRule="auto"/>
        <w:ind w:firstLineChars="200" w:firstLine="420"/>
        <w:rPr>
          <w:rFonts w:ascii="宋体" w:hAnsi="宋体"/>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67" w:name="_Toc360793514"/>
      <w:bookmarkStart w:id="368" w:name="_Toc48808901"/>
      <w:bookmarkStart w:id="369" w:name="_Toc360793866"/>
      <w:bookmarkStart w:id="370" w:name="_Toc362455199"/>
      <w:bookmarkStart w:id="371" w:name="_Toc360794424"/>
      <w:bookmarkStart w:id="372" w:name="_Toc362533471"/>
      <w:bookmarkStart w:id="373" w:name="_Toc360794532"/>
      <w:bookmarkStart w:id="374" w:name="_Toc360794116"/>
      <w:r>
        <w:rPr>
          <w:rFonts w:ascii="宋体" w:eastAsia="宋体" w:hAnsi="宋体" w:hint="eastAsia"/>
        </w:rPr>
        <w:lastRenderedPageBreak/>
        <w:t>招募说明书存放及其查阅方式</w:t>
      </w:r>
      <w:bookmarkEnd w:id="367"/>
      <w:bookmarkEnd w:id="368"/>
      <w:bookmarkEnd w:id="369"/>
      <w:bookmarkEnd w:id="370"/>
      <w:bookmarkEnd w:id="371"/>
      <w:bookmarkEnd w:id="372"/>
      <w:bookmarkEnd w:id="373"/>
      <w:bookmarkEnd w:id="374"/>
    </w:p>
    <w:p w:rsidR="00822B64" w:rsidRDefault="00822B64">
      <w:pPr>
        <w:snapToGrid w:val="0"/>
        <w:spacing w:line="360" w:lineRule="auto"/>
        <w:ind w:firstLineChars="200" w:firstLine="420"/>
        <w:rPr>
          <w:rFonts w:ascii="宋体" w:hAnsi="宋体"/>
        </w:rPr>
      </w:pPr>
    </w:p>
    <w:p w:rsidR="00822B64" w:rsidRDefault="00E92BF7">
      <w:pPr>
        <w:snapToGrid w:val="0"/>
        <w:spacing w:line="360" w:lineRule="auto"/>
        <w:ind w:firstLineChars="200" w:firstLine="420"/>
        <w:rPr>
          <w:rFonts w:ascii="宋体" w:hAnsi="宋体"/>
        </w:rPr>
      </w:pPr>
      <w:r>
        <w:rPr>
          <w:rFonts w:ascii="宋体" w:hAnsi="宋体" w:hint="eastAsia"/>
        </w:rPr>
        <w:t>本招募说明书存放在本基金管理人、基金托管人、销售机构的办公场所，投资</w:t>
      </w:r>
      <w:r>
        <w:rPr>
          <w:rFonts w:ascii="宋体" w:hAnsi="宋体"/>
          <w:szCs w:val="21"/>
        </w:rPr>
        <w:t>人</w:t>
      </w:r>
      <w:r>
        <w:rPr>
          <w:rFonts w:ascii="宋体" w:hAnsi="宋体" w:hint="eastAsia"/>
        </w:rPr>
        <w:t>可在办公时间免费查阅；也可按工本费购买本招募说明书复制件或复印件，但应以招募说明书正本为准。</w:t>
      </w:r>
    </w:p>
    <w:p w:rsidR="00822B64" w:rsidRDefault="00E92BF7">
      <w:pPr>
        <w:snapToGrid w:val="0"/>
        <w:spacing w:line="360" w:lineRule="auto"/>
        <w:ind w:firstLineChars="200" w:firstLine="420"/>
        <w:rPr>
          <w:rFonts w:ascii="宋体" w:hAnsi="宋体"/>
        </w:rPr>
      </w:pPr>
      <w:r>
        <w:rPr>
          <w:rFonts w:ascii="宋体" w:hAnsi="宋体" w:hint="eastAsia"/>
        </w:rPr>
        <w:t>基金管理人和基金托管人保证文本的内容与所公告的内容完全一致。</w:t>
      </w:r>
    </w:p>
    <w:p w:rsidR="00822B64" w:rsidRDefault="00E92BF7">
      <w:pPr>
        <w:snapToGrid w:val="0"/>
        <w:spacing w:line="360" w:lineRule="auto"/>
        <w:ind w:firstLineChars="200" w:firstLine="420"/>
        <w:rPr>
          <w:rFonts w:ascii="宋体" w:hAnsi="宋体"/>
        </w:rPr>
      </w:pPr>
      <w:r>
        <w:rPr>
          <w:rFonts w:ascii="宋体" w:hAnsi="宋体"/>
        </w:rPr>
        <w:br w:type="page"/>
      </w:r>
    </w:p>
    <w:p w:rsidR="00822B64" w:rsidRDefault="00E92BF7">
      <w:pPr>
        <w:pStyle w:val="21"/>
        <w:numPr>
          <w:ilvl w:val="0"/>
          <w:numId w:val="28"/>
        </w:numPr>
        <w:snapToGrid w:val="0"/>
        <w:spacing w:before="0" w:after="0" w:line="360" w:lineRule="auto"/>
        <w:jc w:val="left"/>
        <w:rPr>
          <w:rFonts w:ascii="宋体" w:eastAsia="宋体" w:hAnsi="宋体"/>
        </w:rPr>
      </w:pPr>
      <w:bookmarkStart w:id="375" w:name="_Toc360793867"/>
      <w:bookmarkStart w:id="376" w:name="_Toc360794533"/>
      <w:bookmarkStart w:id="377" w:name="_Toc360794117"/>
      <w:bookmarkStart w:id="378" w:name="_Toc360794425"/>
      <w:bookmarkStart w:id="379" w:name="_Toc362455200"/>
      <w:bookmarkStart w:id="380" w:name="_Toc360793515"/>
      <w:bookmarkStart w:id="381" w:name="_Toc362533472"/>
      <w:bookmarkStart w:id="382" w:name="_Toc48808902"/>
      <w:r>
        <w:rPr>
          <w:rFonts w:ascii="宋体" w:eastAsia="宋体" w:hAnsi="宋体" w:hint="eastAsia"/>
        </w:rPr>
        <w:lastRenderedPageBreak/>
        <w:t>备查文件</w:t>
      </w:r>
      <w:bookmarkEnd w:id="375"/>
      <w:bookmarkEnd w:id="376"/>
      <w:bookmarkEnd w:id="377"/>
      <w:bookmarkEnd w:id="378"/>
      <w:bookmarkEnd w:id="379"/>
      <w:bookmarkEnd w:id="380"/>
      <w:bookmarkEnd w:id="381"/>
      <w:bookmarkEnd w:id="382"/>
    </w:p>
    <w:p w:rsidR="00822B64" w:rsidRDefault="00822B64">
      <w:pPr>
        <w:adjustRightInd w:val="0"/>
        <w:snapToGrid w:val="0"/>
        <w:spacing w:line="360" w:lineRule="auto"/>
        <w:ind w:firstLine="539"/>
        <w:rPr>
          <w:rFonts w:ascii="宋体" w:hAnsi="宋体"/>
        </w:rPr>
      </w:pPr>
    </w:p>
    <w:p w:rsidR="00822B64" w:rsidRDefault="00E92BF7">
      <w:pPr>
        <w:adjustRightInd w:val="0"/>
        <w:snapToGrid w:val="0"/>
        <w:spacing w:line="360" w:lineRule="auto"/>
        <w:ind w:firstLine="539"/>
        <w:rPr>
          <w:rFonts w:ascii="宋体" w:hAnsi="宋体"/>
        </w:rPr>
      </w:pPr>
      <w:r>
        <w:rPr>
          <w:rFonts w:ascii="宋体" w:hAnsi="宋体" w:hint="eastAsia"/>
        </w:rPr>
        <w:t>1、</w:t>
      </w:r>
      <w:r>
        <w:rPr>
          <w:rFonts w:ascii="宋体" w:hAnsi="宋体"/>
          <w:szCs w:val="21"/>
        </w:rPr>
        <w:t>中国证监会</w:t>
      </w:r>
      <w:r>
        <w:t>准予本基金募集注册</w:t>
      </w:r>
      <w:r>
        <w:rPr>
          <w:rFonts w:ascii="宋体" w:hAnsi="宋体"/>
          <w:szCs w:val="21"/>
        </w:rPr>
        <w:t>的文件</w:t>
      </w:r>
    </w:p>
    <w:p w:rsidR="00822B64" w:rsidRDefault="00E92BF7">
      <w:pPr>
        <w:adjustRightInd w:val="0"/>
        <w:snapToGrid w:val="0"/>
        <w:spacing w:line="360" w:lineRule="auto"/>
        <w:ind w:firstLine="539"/>
        <w:rPr>
          <w:rFonts w:ascii="宋体" w:hAnsi="宋体"/>
        </w:rPr>
      </w:pPr>
      <w:r>
        <w:rPr>
          <w:rFonts w:ascii="宋体" w:hAnsi="宋体" w:hint="eastAsia"/>
        </w:rPr>
        <w:t>2、《东海鑫享66个月定期开放债券型证券投资基金基金合同》</w:t>
      </w:r>
    </w:p>
    <w:p w:rsidR="00822B64" w:rsidRDefault="00E92BF7">
      <w:pPr>
        <w:adjustRightInd w:val="0"/>
        <w:snapToGrid w:val="0"/>
        <w:spacing w:line="360" w:lineRule="auto"/>
        <w:ind w:firstLine="539"/>
        <w:rPr>
          <w:rFonts w:ascii="宋体" w:hAnsi="宋体"/>
        </w:rPr>
      </w:pPr>
      <w:r>
        <w:rPr>
          <w:rFonts w:ascii="宋体" w:hAnsi="宋体" w:hint="eastAsia"/>
        </w:rPr>
        <w:t>3、《东海鑫享66个月定期开放债券型证券投资基金托管协议》</w:t>
      </w:r>
    </w:p>
    <w:p w:rsidR="00822B64" w:rsidRDefault="00E92BF7">
      <w:pPr>
        <w:adjustRightInd w:val="0"/>
        <w:snapToGrid w:val="0"/>
        <w:spacing w:line="360" w:lineRule="auto"/>
        <w:ind w:firstLine="539"/>
        <w:rPr>
          <w:rFonts w:ascii="宋体" w:hAnsi="宋体"/>
        </w:rPr>
      </w:pPr>
      <w:r>
        <w:rPr>
          <w:rFonts w:ascii="宋体" w:hAnsi="宋体"/>
        </w:rPr>
        <w:t>4</w:t>
      </w:r>
      <w:r>
        <w:rPr>
          <w:rFonts w:ascii="宋体" w:hAnsi="宋体" w:hint="eastAsia"/>
        </w:rPr>
        <w:t>、法律意见书</w:t>
      </w:r>
    </w:p>
    <w:p w:rsidR="00822B64" w:rsidRDefault="00E92BF7">
      <w:pPr>
        <w:adjustRightInd w:val="0"/>
        <w:snapToGrid w:val="0"/>
        <w:spacing w:line="360" w:lineRule="auto"/>
        <w:ind w:firstLine="539"/>
        <w:rPr>
          <w:rFonts w:ascii="宋体" w:hAnsi="宋体"/>
        </w:rPr>
      </w:pPr>
      <w:r>
        <w:rPr>
          <w:rFonts w:ascii="宋体" w:hAnsi="宋体"/>
        </w:rPr>
        <w:t>5</w:t>
      </w:r>
      <w:r>
        <w:rPr>
          <w:rFonts w:ascii="宋体" w:hAnsi="宋体" w:hint="eastAsia"/>
        </w:rPr>
        <w:t>、基金管理人业务资格批件、营业执照</w:t>
      </w:r>
    </w:p>
    <w:p w:rsidR="00822B64" w:rsidRDefault="00E92BF7">
      <w:pPr>
        <w:adjustRightInd w:val="0"/>
        <w:snapToGrid w:val="0"/>
        <w:spacing w:line="360" w:lineRule="auto"/>
        <w:ind w:firstLine="539"/>
        <w:rPr>
          <w:rFonts w:ascii="宋体" w:hAnsi="宋体"/>
        </w:rPr>
      </w:pPr>
      <w:r>
        <w:rPr>
          <w:rFonts w:ascii="宋体" w:hAnsi="宋体"/>
        </w:rPr>
        <w:t>6</w:t>
      </w:r>
      <w:r>
        <w:rPr>
          <w:rFonts w:ascii="宋体" w:hAnsi="宋体" w:hint="eastAsia"/>
        </w:rPr>
        <w:t>、基金托管人业务资格批件、营业执照</w:t>
      </w:r>
    </w:p>
    <w:p w:rsidR="00822B64" w:rsidRDefault="00E92BF7">
      <w:pPr>
        <w:adjustRightInd w:val="0"/>
        <w:snapToGrid w:val="0"/>
        <w:spacing w:line="360" w:lineRule="auto"/>
        <w:ind w:firstLine="539"/>
        <w:rPr>
          <w:rFonts w:ascii="宋体" w:hAnsi="宋体"/>
        </w:rPr>
      </w:pPr>
      <w:r>
        <w:rPr>
          <w:rFonts w:ascii="宋体" w:hAnsi="宋体"/>
        </w:rPr>
        <w:t>7</w:t>
      </w:r>
      <w:r>
        <w:rPr>
          <w:rFonts w:ascii="宋体" w:hAnsi="宋体" w:hint="eastAsia"/>
        </w:rPr>
        <w:t>、中国证监会要求的其他文件</w:t>
      </w:r>
    </w:p>
    <w:p w:rsidR="00822B64" w:rsidRDefault="00822B64">
      <w:pPr>
        <w:adjustRightInd w:val="0"/>
        <w:snapToGrid w:val="0"/>
        <w:spacing w:line="360" w:lineRule="auto"/>
        <w:ind w:firstLine="539"/>
        <w:rPr>
          <w:rFonts w:ascii="宋体" w:hAnsi="宋体"/>
        </w:rPr>
      </w:pPr>
    </w:p>
    <w:p w:rsidR="00822B64" w:rsidRDefault="00822B64">
      <w:pPr>
        <w:adjustRightInd w:val="0"/>
        <w:snapToGrid w:val="0"/>
        <w:spacing w:line="360" w:lineRule="auto"/>
        <w:ind w:firstLine="539"/>
        <w:rPr>
          <w:rFonts w:ascii="宋体" w:hAnsi="宋体"/>
        </w:rPr>
      </w:pPr>
    </w:p>
    <w:p w:rsidR="00822B64" w:rsidRDefault="00822B64">
      <w:pPr>
        <w:adjustRightInd w:val="0"/>
        <w:snapToGrid w:val="0"/>
        <w:spacing w:line="360" w:lineRule="auto"/>
        <w:ind w:firstLine="539"/>
        <w:jc w:val="right"/>
        <w:rPr>
          <w:rFonts w:ascii="宋体" w:hAnsi="宋体"/>
        </w:rPr>
      </w:pPr>
    </w:p>
    <w:p w:rsidR="00822B64" w:rsidRDefault="00E92BF7">
      <w:pPr>
        <w:adjustRightInd w:val="0"/>
        <w:snapToGrid w:val="0"/>
        <w:spacing w:line="360" w:lineRule="auto"/>
        <w:ind w:firstLine="539"/>
        <w:jc w:val="right"/>
        <w:rPr>
          <w:rFonts w:ascii="宋体" w:hAnsi="宋体"/>
        </w:rPr>
      </w:pPr>
      <w:r>
        <w:rPr>
          <w:rFonts w:ascii="宋体" w:hAnsi="宋体" w:hint="eastAsia"/>
        </w:rPr>
        <w:t>东海基金管理有限责任公司</w:t>
      </w:r>
    </w:p>
    <w:p w:rsidR="00822B64" w:rsidRDefault="00E92BF7">
      <w:pPr>
        <w:adjustRightInd w:val="0"/>
        <w:snapToGrid w:val="0"/>
        <w:spacing w:line="360" w:lineRule="auto"/>
        <w:ind w:firstLine="539"/>
        <w:jc w:val="right"/>
      </w:pPr>
      <w:r>
        <w:rPr>
          <w:rFonts w:ascii="宋体" w:hAnsi="宋体"/>
        </w:rPr>
        <w:t>202</w:t>
      </w:r>
      <w:r w:rsidR="00353CF8">
        <w:rPr>
          <w:rFonts w:ascii="宋体" w:hAnsi="宋体"/>
        </w:rPr>
        <w:t>3</w:t>
      </w:r>
      <w:r>
        <w:rPr>
          <w:rFonts w:ascii="宋体" w:hAnsi="宋体" w:hint="eastAsia"/>
        </w:rPr>
        <w:t>年3月</w:t>
      </w:r>
      <w:r w:rsidR="00353CF8">
        <w:rPr>
          <w:rFonts w:ascii="宋体" w:hAnsi="宋体"/>
        </w:rPr>
        <w:t>2</w:t>
      </w:r>
      <w:r w:rsidR="002848F2">
        <w:rPr>
          <w:rFonts w:ascii="宋体" w:hAnsi="宋体"/>
        </w:rPr>
        <w:t>5</w:t>
      </w:r>
      <w:r>
        <w:rPr>
          <w:rFonts w:ascii="宋体" w:hAnsi="宋体" w:hint="eastAsia"/>
        </w:rPr>
        <w:t>日</w:t>
      </w:r>
    </w:p>
    <w:p w:rsidR="00822B64" w:rsidRDefault="00822B64"/>
    <w:sectPr w:rsidR="00822B64">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2DE9" w:rsidRDefault="00952DE9">
      <w:r>
        <w:separator/>
      </w:r>
    </w:p>
  </w:endnote>
  <w:endnote w:type="continuationSeparator" w:id="0">
    <w:p w:rsidR="00952DE9" w:rsidRDefault="00952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default"/>
    <w:sig w:usb0="00000000" w:usb1="0000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00000000" w:usb1="00000000" w:usb2="0000003F" w:usb3="00000000" w:csb0="603F01FF" w:csb1="FFFF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黑体简体">
    <w:altName w:val="等线"/>
    <w:charset w:val="86"/>
    <w:family w:val="auto"/>
    <w:pitch w:val="default"/>
    <w:sig w:usb0="00000000" w:usb1="00000000" w:usb2="00000012" w:usb3="00000000" w:csb0="00040001" w:csb1="00000000"/>
  </w:font>
  <w:font w:name="五">
    <w:altName w:val="黑体"/>
    <w:charset w:val="86"/>
    <w:family w:val="auto"/>
    <w:pitch w:val="default"/>
    <w:sig w:usb0="00000000" w:usb1="00000000" w:usb2="00000010" w:usb3="00000000" w:csb0="00040000" w:csb1="00000000"/>
  </w:font>
  <w:font w:name="ˎ̥">
    <w:altName w:val="Segoe Print"/>
    <w:charset w:val="86"/>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Style w:val="afd"/>
      <w:jc w:val="center"/>
    </w:pPr>
  </w:p>
  <w:p w:rsidR="00E92BF7" w:rsidRDefault="00E92BF7">
    <w:pPr>
      <w:pStyle w:val="af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Style w:val="afd"/>
      <w:jc w:val="center"/>
    </w:pPr>
  </w:p>
  <w:p w:rsidR="00E92BF7" w:rsidRDefault="00E92BF7">
    <w:pPr>
      <w:pStyle w:val="afd"/>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Style w:val="afd"/>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Style w:val="afd"/>
      <w:jc w:val="center"/>
    </w:pPr>
  </w:p>
  <w:p w:rsidR="00E92BF7" w:rsidRDefault="00E92BF7">
    <w:pPr>
      <w:pStyle w:val="afd"/>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Style w:val="afd"/>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92BF7" w:rsidRDefault="00E92BF7">
                          <w:pPr>
                            <w:pStyle w:val="afd"/>
                          </w:pPr>
                          <w:r>
                            <w:fldChar w:fldCharType="begin"/>
                          </w:r>
                          <w:r>
                            <w:instrText xml:space="preserve"> PAGE  \* MERGEFORMAT </w:instrText>
                          </w:r>
                          <w:r>
                            <w:fldChar w:fldCharType="separate"/>
                          </w:r>
                          <w:r w:rsidR="00BA3A03">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E92BF7" w:rsidRDefault="00E92BF7">
                    <w:pPr>
                      <w:pStyle w:val="afd"/>
                    </w:pPr>
                    <w:r>
                      <w:fldChar w:fldCharType="begin"/>
                    </w:r>
                    <w:r>
                      <w:instrText xml:space="preserve"> PAGE  \* MERGEFORMAT </w:instrText>
                    </w:r>
                    <w:r>
                      <w:fldChar w:fldCharType="separate"/>
                    </w:r>
                    <w:r w:rsidR="00BA3A03">
                      <w:rPr>
                        <w:noProof/>
                      </w:rPr>
                      <w:t>9</w:t>
                    </w:r>
                    <w:r>
                      <w:fldChar w:fldCharType="end"/>
                    </w:r>
                  </w:p>
                </w:txbxContent>
              </v:textbox>
              <w10:wrap anchorx="margin"/>
            </v:shape>
          </w:pict>
        </mc:Fallback>
      </mc:AlternateContent>
    </w:r>
  </w:p>
  <w:p w:rsidR="00E92BF7" w:rsidRDefault="00E92BF7">
    <w:pPr>
      <w:pStyle w:val="af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2DE9" w:rsidRDefault="00952DE9">
      <w:r>
        <w:separator/>
      </w:r>
    </w:p>
  </w:footnote>
  <w:footnote w:type="continuationSeparator" w:id="0">
    <w:p w:rsidR="00952DE9" w:rsidRDefault="00952D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Bdr>
        <w:bottom w:val="single" w:sz="4" w:space="0" w:color="auto"/>
      </w:pBdr>
      <w:jc w:val="center"/>
      <w:rPr>
        <w:sz w:val="18"/>
        <w:szCs w:val="22"/>
      </w:rPr>
    </w:pPr>
    <w:r>
      <w:rPr>
        <w:rFonts w:hint="eastAsia"/>
        <w:sz w:val="18"/>
        <w:szCs w:val="22"/>
      </w:rPr>
      <w:t>东海祥苏短债债券型证券投资基金</w:t>
    </w:r>
    <w:r>
      <w:rPr>
        <w:rFonts w:hint="eastAsia"/>
        <w:sz w:val="18"/>
        <w:szCs w:val="22"/>
      </w:rPr>
      <w:t xml:space="preserve">                                            </w:t>
    </w:r>
    <w:r>
      <w:rPr>
        <w:rFonts w:hint="eastAsia"/>
        <w:sz w:val="18"/>
        <w:szCs w:val="22"/>
      </w:rPr>
      <w:t>招募说明书（更新）</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Bdr>
        <w:bottom w:val="single" w:sz="4" w:space="0" w:color="auto"/>
      </w:pBdr>
    </w:pPr>
    <w:r>
      <w:rPr>
        <w:rFonts w:hint="eastAsia"/>
        <w:sz w:val="18"/>
        <w:szCs w:val="22"/>
      </w:rPr>
      <w:t>东海鑫享</w:t>
    </w:r>
    <w:r>
      <w:rPr>
        <w:rFonts w:hint="eastAsia"/>
        <w:sz w:val="18"/>
        <w:szCs w:val="22"/>
      </w:rPr>
      <w:t>66</w:t>
    </w:r>
    <w:r>
      <w:rPr>
        <w:rFonts w:hint="eastAsia"/>
        <w:sz w:val="18"/>
        <w:szCs w:val="22"/>
      </w:rPr>
      <w:t>个月定期开放债券型证券投资基金</w:t>
    </w:r>
    <w:r>
      <w:rPr>
        <w:rFonts w:hint="eastAsia"/>
        <w:sz w:val="18"/>
        <w:szCs w:val="22"/>
      </w:rPr>
      <w:t xml:space="preserve">                                  </w:t>
    </w:r>
    <w:r>
      <w:rPr>
        <w:rFonts w:hint="eastAsia"/>
        <w:sz w:val="18"/>
        <w:szCs w:val="22"/>
      </w:rPr>
      <w:t>招募说明书（更新）</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2BF7" w:rsidRDefault="00E92BF7">
    <w:pPr>
      <w:pBdr>
        <w:bottom w:val="single" w:sz="4" w:space="0" w:color="auto"/>
      </w:pBdr>
      <w:jc w:val="center"/>
    </w:pPr>
    <w:r>
      <w:rPr>
        <w:rFonts w:hint="eastAsia"/>
        <w:sz w:val="18"/>
        <w:szCs w:val="22"/>
      </w:rPr>
      <w:t>东海鑫享</w:t>
    </w:r>
    <w:r>
      <w:rPr>
        <w:rFonts w:hint="eastAsia"/>
        <w:sz w:val="18"/>
        <w:szCs w:val="22"/>
      </w:rPr>
      <w:t>66</w:t>
    </w:r>
    <w:r>
      <w:rPr>
        <w:rFonts w:hint="eastAsia"/>
        <w:sz w:val="18"/>
        <w:szCs w:val="22"/>
      </w:rPr>
      <w:t>个月定期开放债券型证券投资基金</w:t>
    </w:r>
    <w:r>
      <w:rPr>
        <w:rFonts w:hint="eastAsia"/>
        <w:sz w:val="18"/>
        <w:szCs w:val="22"/>
      </w:rPr>
      <w:t xml:space="preserve">                                    </w:t>
    </w:r>
    <w:r>
      <w:rPr>
        <w:rFonts w:hint="eastAsia"/>
        <w:sz w:val="18"/>
        <w:szCs w:val="22"/>
      </w:rPr>
      <w:t>招募说明书（更新）</w:t>
    </w:r>
  </w:p>
  <w:p w:rsidR="00E92BF7" w:rsidRDefault="00E92BF7">
    <w:pPr>
      <w:jc w:val="center"/>
      <w:rPr>
        <w:sz w:val="18"/>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44209E7"/>
    <w:multiLevelType w:val="multilevel"/>
    <w:tmpl w:val="044209E7"/>
    <w:lvl w:ilvl="0">
      <w:start w:val="1"/>
      <w:numFmt w:val="decimal"/>
      <w:pStyle w:val="AOAppHead"/>
      <w:suff w:val="nothing"/>
      <w:lvlText w:val="Appendix %1"/>
      <w:lvlJc w:val="left"/>
      <w:pPr>
        <w:ind w:left="0" w:firstLine="0"/>
      </w:pPr>
      <w:rPr>
        <w:b/>
        <w:i w:val="0"/>
      </w:rPr>
    </w:lvl>
    <w:lvl w:ilvl="1">
      <w:start w:val="1"/>
      <w:numFmt w:val="decimal"/>
      <w:pStyle w:val="AOApp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 w15:restartNumberingAfterBreak="0">
    <w:nsid w:val="05C7AA11"/>
    <w:multiLevelType w:val="singleLevel"/>
    <w:tmpl w:val="05C7AA11"/>
    <w:lvl w:ilvl="0">
      <w:start w:val="6"/>
      <w:numFmt w:val="decimal"/>
      <w:suff w:val="nothing"/>
      <w:lvlText w:val="%1、"/>
      <w:lvlJc w:val="left"/>
    </w:lvl>
  </w:abstractNum>
  <w:abstractNum w:abstractNumId="3" w15:restartNumberingAfterBreak="0">
    <w:nsid w:val="073F5C70"/>
    <w:multiLevelType w:val="singleLevel"/>
    <w:tmpl w:val="073F5C70"/>
    <w:lvl w:ilvl="0">
      <w:start w:val="6"/>
      <w:numFmt w:val="decimal"/>
      <w:suff w:val="nothing"/>
      <w:lvlText w:val="%1、"/>
      <w:lvlJc w:val="left"/>
    </w:lvl>
  </w:abstractNum>
  <w:abstractNum w:abstractNumId="4" w15:restartNumberingAfterBreak="0">
    <w:nsid w:val="096C2ACA"/>
    <w:multiLevelType w:val="singleLevel"/>
    <w:tmpl w:val="096C2ACA"/>
    <w:lvl w:ilvl="0">
      <w:start w:val="2"/>
      <w:numFmt w:val="japaneseCounting"/>
      <w:pStyle w:val="ParaChar"/>
      <w:lvlText w:val="（%1）"/>
      <w:lvlJc w:val="left"/>
      <w:pPr>
        <w:tabs>
          <w:tab w:val="left" w:pos="870"/>
        </w:tabs>
        <w:ind w:left="870" w:hanging="870"/>
      </w:pPr>
    </w:lvl>
  </w:abstractNum>
  <w:abstractNum w:abstractNumId="5" w15:restartNumberingAfterBreak="0">
    <w:nsid w:val="0B101077"/>
    <w:multiLevelType w:val="singleLevel"/>
    <w:tmpl w:val="0B101077"/>
    <w:lvl w:ilvl="0">
      <w:start w:val="1"/>
      <w:numFmt w:val="decimal"/>
      <w:pStyle w:val="a"/>
      <w:lvlText w:val="%1)"/>
      <w:lvlJc w:val="left"/>
      <w:pPr>
        <w:tabs>
          <w:tab w:val="left" w:pos="720"/>
        </w:tabs>
        <w:ind w:left="720" w:hanging="360"/>
      </w:pPr>
    </w:lvl>
  </w:abstractNum>
  <w:abstractNum w:abstractNumId="6" w15:restartNumberingAfterBreak="0">
    <w:nsid w:val="10F37ADE"/>
    <w:multiLevelType w:val="multilevel"/>
    <w:tmpl w:val="10F37ADE"/>
    <w:lvl w:ilvl="0">
      <w:start w:val="1"/>
      <w:numFmt w:val="decimal"/>
      <w:pStyle w:val="AOListNumber"/>
      <w:lvlText w:val="%1."/>
      <w:lvlJc w:val="left"/>
      <w:pPr>
        <w:tabs>
          <w:tab w:val="left" w:pos="720"/>
        </w:tabs>
        <w:ind w:left="720" w:hanging="720"/>
      </w:pPr>
    </w:lvl>
    <w:lvl w:ilvl="1">
      <w:start w:val="1"/>
      <w:numFmt w:val="lowerLetter"/>
      <w:lvlText w:val="(%2)"/>
      <w:lvlJc w:val="left"/>
      <w:pPr>
        <w:tabs>
          <w:tab w:val="left" w:pos="720"/>
        </w:tabs>
        <w:ind w:left="720" w:hanging="720"/>
      </w:pPr>
    </w:lvl>
    <w:lvl w:ilvl="2">
      <w:start w:val="1"/>
      <w:numFmt w:val="lowerRoman"/>
      <w:lvlText w:val="(%3)"/>
      <w:lvlJc w:val="left"/>
      <w:pPr>
        <w:tabs>
          <w:tab w:val="left" w:pos="1440"/>
        </w:tabs>
        <w:ind w:left="1440" w:hanging="720"/>
      </w:pPr>
    </w:lvl>
    <w:lvl w:ilvl="3">
      <w:start w:val="1"/>
      <w:numFmt w:val="upperLetter"/>
      <w:lvlText w:val="(%4)"/>
      <w:lvlJc w:val="left"/>
      <w:pPr>
        <w:tabs>
          <w:tab w:val="left" w:pos="2160"/>
        </w:tabs>
        <w:ind w:left="2160" w:hanging="720"/>
      </w:pPr>
    </w:lvl>
    <w:lvl w:ilvl="4">
      <w:start w:val="1"/>
      <w:numFmt w:val="upperRoman"/>
      <w:lvlText w:val="%5."/>
      <w:lvlJc w:val="left"/>
      <w:pPr>
        <w:tabs>
          <w:tab w:val="left" w:pos="2880"/>
        </w:tabs>
        <w:ind w:left="2880" w:hanging="720"/>
      </w:pPr>
    </w:lvl>
    <w:lvl w:ilvl="5">
      <w:start w:val="1"/>
      <w:numFmt w:val="lowerLetter"/>
      <w:lvlText w:val="(%6)"/>
      <w:lvlJc w:val="left"/>
      <w:pPr>
        <w:tabs>
          <w:tab w:val="left" w:pos="1440"/>
        </w:tabs>
        <w:ind w:left="1440" w:hanging="720"/>
      </w:pPr>
    </w:lvl>
    <w:lvl w:ilvl="6">
      <w:start w:val="1"/>
      <w:numFmt w:val="lowerRoman"/>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7" w15:restartNumberingAfterBreak="0">
    <w:nsid w:val="13B718D4"/>
    <w:multiLevelType w:val="multilevel"/>
    <w:tmpl w:val="13B718D4"/>
    <w:lvl w:ilvl="0">
      <w:start w:val="1"/>
      <w:numFmt w:val="decimal"/>
      <w:pStyle w:val="2"/>
      <w:lvlText w:val="（%1）"/>
      <w:lvlJc w:val="center"/>
      <w:pPr>
        <w:tabs>
          <w:tab w:val="left" w:pos="648"/>
        </w:tabs>
        <w:ind w:left="0" w:firstLine="288"/>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1A4038FD"/>
    <w:multiLevelType w:val="multilevel"/>
    <w:tmpl w:val="1A4038FD"/>
    <w:lvl w:ilvl="0">
      <w:start w:val="1"/>
      <w:numFmt w:val="japaneseCounting"/>
      <w:pStyle w:val="211"/>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B0661F6"/>
    <w:multiLevelType w:val="singleLevel"/>
    <w:tmpl w:val="1B0661F6"/>
    <w:lvl w:ilvl="0">
      <w:start w:val="1"/>
      <w:numFmt w:val="bullet"/>
      <w:pStyle w:val="AOBullet2"/>
      <w:lvlText w:val=""/>
      <w:lvlJc w:val="left"/>
      <w:pPr>
        <w:tabs>
          <w:tab w:val="left" w:pos="720"/>
        </w:tabs>
        <w:ind w:left="720" w:hanging="720"/>
      </w:pPr>
      <w:rPr>
        <w:rFonts w:ascii="Symbol" w:hAnsi="Symbol" w:hint="default"/>
      </w:rPr>
    </w:lvl>
  </w:abstractNum>
  <w:abstractNum w:abstractNumId="10" w15:restartNumberingAfterBreak="0">
    <w:nsid w:val="239E2F0F"/>
    <w:multiLevelType w:val="multilevel"/>
    <w:tmpl w:val="239E2F0F"/>
    <w:lvl w:ilvl="0">
      <w:start w:val="1"/>
      <w:numFmt w:val="chineseCountingThousand"/>
      <w:suff w:val="space"/>
      <w:lvlText w:val="%1、"/>
      <w:lvlJc w:val="left"/>
      <w:pPr>
        <w:ind w:left="0" w:firstLine="0"/>
      </w:pPr>
      <w:rPr>
        <w:rFonts w:hint="eastAsia"/>
      </w:rPr>
    </w:lvl>
    <w:lvl w:ilvl="1">
      <w:start w:val="1"/>
      <w:numFmt w:val="chineseCountingThousand"/>
      <w:pStyle w:val="2111111"/>
      <w:suff w:val="nothing"/>
      <w:lvlText w:val="%2、"/>
      <w:lvlJc w:val="left"/>
      <w:pPr>
        <w:ind w:left="0" w:firstLine="0"/>
      </w:pPr>
      <w:rPr>
        <w:rFonts w:hint="eastAsia"/>
      </w:rPr>
    </w:lvl>
    <w:lvl w:ilvl="2">
      <w:start w:val="1"/>
      <w:numFmt w:val="decimal"/>
      <w:suff w:val="space"/>
      <w:lvlText w:val="%3."/>
      <w:lvlJc w:val="left"/>
      <w:pPr>
        <w:ind w:left="0" w:firstLine="0"/>
      </w:pPr>
      <w:rPr>
        <w:rFonts w:hint="eastAsia"/>
      </w:rPr>
    </w:lvl>
    <w:lvl w:ilvl="3">
      <w:start w:val="1"/>
      <w:numFmt w:val="none"/>
      <w:suff w:val="nothing"/>
      <w:lvlText w:val=""/>
      <w:lvlJc w:val="left"/>
      <w:pPr>
        <w:ind w:left="851" w:firstLine="0"/>
      </w:pPr>
      <w:rPr>
        <w:rFonts w:hint="eastAsia"/>
      </w:rPr>
    </w:lvl>
    <w:lvl w:ilvl="4">
      <w:start w:val="1"/>
      <w:numFmt w:val="none"/>
      <w:suff w:val="nothing"/>
      <w:lvlText w:val=""/>
      <w:lvlJc w:val="left"/>
      <w:pPr>
        <w:ind w:left="851" w:firstLine="0"/>
      </w:pPr>
      <w:rPr>
        <w:rFonts w:hint="eastAsia"/>
      </w:rPr>
    </w:lvl>
    <w:lvl w:ilvl="5">
      <w:start w:val="1"/>
      <w:numFmt w:val="none"/>
      <w:suff w:val="nothing"/>
      <w:lvlText w:val=""/>
      <w:lvlJc w:val="left"/>
      <w:pPr>
        <w:ind w:left="851" w:firstLine="0"/>
      </w:pPr>
      <w:rPr>
        <w:rFonts w:hint="eastAsia"/>
      </w:rPr>
    </w:lvl>
    <w:lvl w:ilvl="6">
      <w:start w:val="1"/>
      <w:numFmt w:val="none"/>
      <w:suff w:val="nothing"/>
      <w:lvlText w:val=""/>
      <w:lvlJc w:val="left"/>
      <w:pPr>
        <w:ind w:left="851" w:firstLine="0"/>
      </w:pPr>
      <w:rPr>
        <w:rFonts w:hint="eastAsia"/>
      </w:rPr>
    </w:lvl>
    <w:lvl w:ilvl="7">
      <w:start w:val="1"/>
      <w:numFmt w:val="none"/>
      <w:suff w:val="nothing"/>
      <w:lvlText w:val=""/>
      <w:lvlJc w:val="left"/>
      <w:pPr>
        <w:ind w:left="851" w:firstLine="0"/>
      </w:pPr>
      <w:rPr>
        <w:rFonts w:hint="eastAsia"/>
      </w:rPr>
    </w:lvl>
    <w:lvl w:ilvl="8">
      <w:start w:val="1"/>
      <w:numFmt w:val="none"/>
      <w:suff w:val="nothing"/>
      <w:lvlText w:val=""/>
      <w:lvlJc w:val="left"/>
      <w:pPr>
        <w:ind w:left="851" w:firstLine="0"/>
      </w:pPr>
      <w:rPr>
        <w:rFonts w:hint="eastAsia"/>
      </w:rPr>
    </w:lvl>
  </w:abstractNum>
  <w:abstractNum w:abstractNumId="11" w15:restartNumberingAfterBreak="0">
    <w:nsid w:val="31FA6DE9"/>
    <w:multiLevelType w:val="singleLevel"/>
    <w:tmpl w:val="31FA6DE9"/>
    <w:lvl w:ilvl="0">
      <w:start w:val="1"/>
      <w:numFmt w:val="bullet"/>
      <w:pStyle w:val="AOBullet"/>
      <w:lvlText w:val=""/>
      <w:lvlJc w:val="left"/>
      <w:pPr>
        <w:tabs>
          <w:tab w:val="left" w:pos="720"/>
        </w:tabs>
        <w:ind w:left="720" w:hanging="720"/>
      </w:pPr>
      <w:rPr>
        <w:rFonts w:ascii="Symbol" w:hAnsi="Symbol" w:hint="default"/>
      </w:rPr>
    </w:lvl>
  </w:abstractNum>
  <w:abstractNum w:abstractNumId="12"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abstractNum w:abstractNumId="13" w15:restartNumberingAfterBreak="0">
    <w:nsid w:val="36063A36"/>
    <w:multiLevelType w:val="singleLevel"/>
    <w:tmpl w:val="36063A36"/>
    <w:lvl w:ilvl="0">
      <w:start w:val="1"/>
      <w:numFmt w:val="bullet"/>
      <w:pStyle w:val="a0"/>
      <w:lvlText w:val=""/>
      <w:lvlJc w:val="left"/>
      <w:pPr>
        <w:tabs>
          <w:tab w:val="left" w:pos="720"/>
        </w:tabs>
        <w:ind w:left="720" w:hanging="360"/>
      </w:pPr>
      <w:rPr>
        <w:rFonts w:ascii="Wingdings" w:hAnsi="Wingdings" w:hint="default"/>
      </w:rPr>
    </w:lvl>
  </w:abstractNum>
  <w:abstractNum w:abstractNumId="14" w15:restartNumberingAfterBreak="0">
    <w:nsid w:val="38014636"/>
    <w:multiLevelType w:val="multilevel"/>
    <w:tmpl w:val="38014636"/>
    <w:lvl w:ilvl="0">
      <w:start w:val="1"/>
      <w:numFmt w:val="chineseCountingThousand"/>
      <w:lvlText w:val="第%1部分"/>
      <w:lvlJc w:val="left"/>
      <w:pPr>
        <w:tabs>
          <w:tab w:val="left" w:pos="420"/>
        </w:tabs>
        <w:ind w:left="420" w:hanging="420"/>
      </w:pPr>
      <w:rPr>
        <w:rFonts w:hint="default"/>
        <w:sz w:val="32"/>
        <w:szCs w:val="32"/>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3D0E7D39"/>
    <w:multiLevelType w:val="multilevel"/>
    <w:tmpl w:val="3D0E7D39"/>
    <w:lvl w:ilvl="0">
      <w:start w:val="1"/>
      <w:numFmt w:val="decimal"/>
      <w:pStyle w:val="AOSchHead"/>
      <w:suff w:val="nothing"/>
      <w:lvlText w:val="Schedule %1"/>
      <w:lvlJc w:val="left"/>
      <w:pPr>
        <w:ind w:left="0" w:firstLine="0"/>
      </w:pPr>
      <w:rPr>
        <w:b/>
        <w:i w:val="0"/>
      </w:rPr>
    </w:lvl>
    <w:lvl w:ilvl="1">
      <w:start w:val="1"/>
      <w:numFmt w:val="decimal"/>
      <w:pStyle w:val="AOSch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6" w15:restartNumberingAfterBreak="0">
    <w:nsid w:val="3DAC2829"/>
    <w:multiLevelType w:val="singleLevel"/>
    <w:tmpl w:val="3DAC2829"/>
    <w:lvl w:ilvl="0">
      <w:start w:val="1"/>
      <w:numFmt w:val="decimal"/>
      <w:pStyle w:val="20"/>
      <w:lvlText w:val="(%1)"/>
      <w:lvlJc w:val="left"/>
      <w:pPr>
        <w:tabs>
          <w:tab w:val="left" w:pos="907"/>
        </w:tabs>
        <w:ind w:left="907" w:hanging="482"/>
      </w:pPr>
    </w:lvl>
  </w:abstractNum>
  <w:abstractNum w:abstractNumId="17" w15:restartNumberingAfterBreak="0">
    <w:nsid w:val="3E29759A"/>
    <w:multiLevelType w:val="multilevel"/>
    <w:tmpl w:val="3E29759A"/>
    <w:lvl w:ilvl="0">
      <w:start w:val="1"/>
      <w:numFmt w:val="decimal"/>
      <w:pStyle w:val="AOGenNum2"/>
      <w:lvlText w:val="%1."/>
      <w:lvlJc w:val="left"/>
      <w:pPr>
        <w:tabs>
          <w:tab w:val="left" w:pos="720"/>
        </w:tabs>
        <w:ind w:left="720" w:hanging="720"/>
      </w:pPr>
    </w:lvl>
    <w:lvl w:ilvl="1">
      <w:start w:val="1"/>
      <w:numFmt w:val="decimal"/>
      <w:pStyle w:val="AOGenNum2Para"/>
      <w:lvlText w:val="%1.%2"/>
      <w:lvlJc w:val="left"/>
      <w:pPr>
        <w:tabs>
          <w:tab w:val="left" w:pos="720"/>
        </w:tabs>
        <w:ind w:left="720" w:hanging="720"/>
      </w:pPr>
    </w:lvl>
    <w:lvl w:ilvl="2">
      <w:start w:val="1"/>
      <w:numFmt w:val="lowerLetter"/>
      <w:pStyle w:val="AOGenNum2List"/>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18" w15:restartNumberingAfterBreak="0">
    <w:nsid w:val="41F230E7"/>
    <w:multiLevelType w:val="singleLevel"/>
    <w:tmpl w:val="41F230E7"/>
    <w:lvl w:ilvl="0">
      <w:start w:val="1"/>
      <w:numFmt w:val="bullet"/>
      <w:pStyle w:val="AOBullet4"/>
      <w:lvlText w:val=""/>
      <w:lvlJc w:val="left"/>
      <w:pPr>
        <w:tabs>
          <w:tab w:val="left" w:pos="720"/>
        </w:tabs>
        <w:ind w:left="720" w:hanging="720"/>
      </w:pPr>
      <w:rPr>
        <w:rFonts w:ascii="Wingdings" w:hAnsi="Wingdings" w:hint="default"/>
      </w:rPr>
    </w:lvl>
  </w:abstractNum>
  <w:abstractNum w:abstractNumId="19" w15:restartNumberingAfterBreak="0">
    <w:nsid w:val="475B3203"/>
    <w:multiLevelType w:val="multilevel"/>
    <w:tmpl w:val="475B3203"/>
    <w:lvl w:ilvl="0">
      <w:start w:val="1"/>
      <w:numFmt w:val="none"/>
      <w:pStyle w:val="AODocTxt"/>
      <w:suff w:val="nothing"/>
      <w:lvlText w:val=""/>
      <w:lvlJc w:val="left"/>
      <w:pPr>
        <w:ind w:left="1260" w:firstLine="0"/>
      </w:pPr>
    </w:lvl>
    <w:lvl w:ilvl="1">
      <w:start w:val="1"/>
      <w:numFmt w:val="none"/>
      <w:pStyle w:val="AODocTxtL1"/>
      <w:suff w:val="nothing"/>
      <w:lvlText w:val=""/>
      <w:lvlJc w:val="left"/>
      <w:pPr>
        <w:ind w:left="1980" w:firstLine="0"/>
      </w:pPr>
    </w:lvl>
    <w:lvl w:ilvl="2">
      <w:start w:val="1"/>
      <w:numFmt w:val="none"/>
      <w:pStyle w:val="AODocTxtL2"/>
      <w:suff w:val="nothing"/>
      <w:lvlText w:val=""/>
      <w:lvlJc w:val="left"/>
      <w:pPr>
        <w:ind w:left="2700" w:firstLine="0"/>
      </w:pPr>
    </w:lvl>
    <w:lvl w:ilvl="3">
      <w:start w:val="1"/>
      <w:numFmt w:val="none"/>
      <w:pStyle w:val="AODocTxtL3"/>
      <w:suff w:val="nothing"/>
      <w:lvlText w:val=""/>
      <w:lvlJc w:val="left"/>
      <w:pPr>
        <w:ind w:left="3420" w:firstLine="0"/>
      </w:pPr>
    </w:lvl>
    <w:lvl w:ilvl="4">
      <w:start w:val="1"/>
      <w:numFmt w:val="none"/>
      <w:pStyle w:val="AODocTxtL4"/>
      <w:suff w:val="nothing"/>
      <w:lvlText w:val=""/>
      <w:lvlJc w:val="left"/>
      <w:pPr>
        <w:ind w:left="4140" w:firstLine="0"/>
      </w:pPr>
    </w:lvl>
    <w:lvl w:ilvl="5">
      <w:start w:val="1"/>
      <w:numFmt w:val="none"/>
      <w:pStyle w:val="AODocTxtL5"/>
      <w:suff w:val="nothing"/>
      <w:lvlText w:val=""/>
      <w:lvlJc w:val="left"/>
      <w:pPr>
        <w:ind w:left="4860" w:firstLine="0"/>
      </w:pPr>
    </w:lvl>
    <w:lvl w:ilvl="6">
      <w:start w:val="1"/>
      <w:numFmt w:val="none"/>
      <w:pStyle w:val="AODocTxtL6"/>
      <w:suff w:val="nothing"/>
      <w:lvlText w:val=""/>
      <w:lvlJc w:val="left"/>
      <w:pPr>
        <w:ind w:left="5580" w:firstLine="0"/>
      </w:pPr>
    </w:lvl>
    <w:lvl w:ilvl="7">
      <w:start w:val="1"/>
      <w:numFmt w:val="none"/>
      <w:pStyle w:val="AODocTxtL7"/>
      <w:suff w:val="nothing"/>
      <w:lvlText w:val=""/>
      <w:lvlJc w:val="left"/>
      <w:pPr>
        <w:ind w:left="6300" w:firstLine="0"/>
      </w:pPr>
    </w:lvl>
    <w:lvl w:ilvl="8">
      <w:start w:val="1"/>
      <w:numFmt w:val="none"/>
      <w:pStyle w:val="AODocTxtL8"/>
      <w:suff w:val="nothing"/>
      <w:lvlText w:val=""/>
      <w:lvlJc w:val="left"/>
      <w:pPr>
        <w:ind w:left="7020" w:firstLine="0"/>
      </w:pPr>
    </w:lvl>
  </w:abstractNum>
  <w:abstractNum w:abstractNumId="20" w15:restartNumberingAfterBreak="0">
    <w:nsid w:val="47B238E7"/>
    <w:multiLevelType w:val="multilevel"/>
    <w:tmpl w:val="47B238E7"/>
    <w:lvl w:ilvl="0">
      <w:start w:val="1"/>
      <w:numFmt w:val="decimal"/>
      <w:pStyle w:val="AOGenNum3"/>
      <w:lvlText w:val="%1."/>
      <w:lvlJc w:val="left"/>
      <w:pPr>
        <w:tabs>
          <w:tab w:val="left" w:pos="720"/>
        </w:tabs>
        <w:ind w:left="720" w:hanging="720"/>
      </w:pPr>
    </w:lvl>
    <w:lvl w:ilvl="1">
      <w:start w:val="1"/>
      <w:numFmt w:val="decimal"/>
      <w:pStyle w:val="AOGenNum3List"/>
      <w:lvlText w:val="%1.%2"/>
      <w:lvlJc w:val="left"/>
      <w:pPr>
        <w:tabs>
          <w:tab w:val="left" w:pos="720"/>
        </w:tabs>
        <w:ind w:left="720" w:hanging="720"/>
      </w:pPr>
    </w:lvl>
    <w:lvl w:ilvl="2">
      <w:start w:val="1"/>
      <w:numFmt w:val="lowerLetter"/>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21" w15:restartNumberingAfterBreak="0">
    <w:nsid w:val="49C66851"/>
    <w:multiLevelType w:val="multilevel"/>
    <w:tmpl w:val="49C66851"/>
    <w:lvl w:ilvl="0">
      <w:start w:val="1"/>
      <w:numFmt w:val="decimal"/>
      <w:pStyle w:val="AOAnxHead"/>
      <w:suff w:val="nothing"/>
      <w:lvlText w:val="Annex %1"/>
      <w:lvlJc w:val="left"/>
      <w:pPr>
        <w:ind w:left="0" w:firstLine="0"/>
      </w:pPr>
      <w:rPr>
        <w:b/>
        <w:i w:val="0"/>
      </w:rPr>
    </w:lvl>
    <w:lvl w:ilvl="1">
      <w:start w:val="1"/>
      <w:numFmt w:val="decimal"/>
      <w:pStyle w:val="AOAnx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2" w15:restartNumberingAfterBreak="0">
    <w:nsid w:val="4CFE7B09"/>
    <w:multiLevelType w:val="multilevel"/>
    <w:tmpl w:val="4CFE7B09"/>
    <w:lvl w:ilvl="0">
      <w:start w:val="1"/>
      <w:numFmt w:val="decimal"/>
      <w:pStyle w:val="AO1"/>
      <w:lvlText w:val="(%1)"/>
      <w:lvlJc w:val="left"/>
      <w:pPr>
        <w:tabs>
          <w:tab w:val="left"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3" w15:restartNumberingAfterBreak="0">
    <w:nsid w:val="4E4B4E3E"/>
    <w:multiLevelType w:val="multilevel"/>
    <w:tmpl w:val="4E4B4E3E"/>
    <w:lvl w:ilvl="0">
      <w:start w:val="1"/>
      <w:numFmt w:val="decimal"/>
      <w:pStyle w:val="AOHead1"/>
      <w:lvlText w:val="%1."/>
      <w:lvlJc w:val="left"/>
      <w:pPr>
        <w:tabs>
          <w:tab w:val="left" w:pos="720"/>
        </w:tabs>
        <w:ind w:left="720" w:hanging="720"/>
      </w:pPr>
    </w:lvl>
    <w:lvl w:ilvl="1">
      <w:start w:val="1"/>
      <w:numFmt w:val="decimal"/>
      <w:pStyle w:val="AOHead2"/>
      <w:lvlText w:val="%1.%2"/>
      <w:lvlJc w:val="left"/>
      <w:pPr>
        <w:tabs>
          <w:tab w:val="left" w:pos="720"/>
        </w:tabs>
        <w:ind w:left="720" w:hanging="720"/>
      </w:pPr>
    </w:lvl>
    <w:lvl w:ilvl="2">
      <w:start w:val="1"/>
      <w:numFmt w:val="lowerLetter"/>
      <w:pStyle w:val="AOHead3"/>
      <w:lvlText w:val="(%3)"/>
      <w:lvlJc w:val="left"/>
      <w:pPr>
        <w:tabs>
          <w:tab w:val="left" w:pos="1440"/>
        </w:tabs>
        <w:ind w:left="1440" w:hanging="720"/>
      </w:pPr>
    </w:lvl>
    <w:lvl w:ilvl="3">
      <w:start w:val="1"/>
      <w:numFmt w:val="lowerRoman"/>
      <w:pStyle w:val="AOHead4"/>
      <w:lvlText w:val="(%4)"/>
      <w:lvlJc w:val="left"/>
      <w:pPr>
        <w:tabs>
          <w:tab w:val="left" w:pos="2160"/>
        </w:tabs>
        <w:ind w:left="2160" w:hanging="720"/>
      </w:pPr>
    </w:lvl>
    <w:lvl w:ilvl="4">
      <w:start w:val="1"/>
      <w:numFmt w:val="upperLetter"/>
      <w:pStyle w:val="AOHead5"/>
      <w:lvlText w:val="(%5)"/>
      <w:lvlJc w:val="left"/>
      <w:pPr>
        <w:tabs>
          <w:tab w:val="left" w:pos="2880"/>
        </w:tabs>
        <w:ind w:left="2880" w:hanging="720"/>
      </w:pPr>
    </w:lvl>
    <w:lvl w:ilvl="5">
      <w:start w:val="1"/>
      <w:numFmt w:val="upperRoman"/>
      <w:pStyle w:val="AOHead6"/>
      <w:lvlText w:val="%6."/>
      <w:lvlJc w:val="left"/>
      <w:pPr>
        <w:tabs>
          <w:tab w:val="left"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4" w15:restartNumberingAfterBreak="0">
    <w:nsid w:val="547D73EE"/>
    <w:multiLevelType w:val="multilevel"/>
    <w:tmpl w:val="547D73EE"/>
    <w:lvl w:ilvl="0">
      <w:start w:val="1"/>
      <w:numFmt w:val="decimal"/>
      <w:pStyle w:val="XBRLTitle1"/>
      <w:suff w:val="space"/>
      <w:lvlText w:val="§%1"/>
      <w:lvlJc w:val="left"/>
      <w:pPr>
        <w:ind w:left="425" w:hanging="425"/>
      </w:pPr>
      <w:rPr>
        <w:rFonts w:hint="eastAsia"/>
      </w:rPr>
    </w:lvl>
    <w:lvl w:ilvl="1">
      <w:start w:val="1"/>
      <w:numFmt w:val="decimal"/>
      <w:pStyle w:val="XBRLTitle2"/>
      <w:suff w:val="space"/>
      <w:lvlText w:val="%1.%2"/>
      <w:lvlJc w:val="left"/>
      <w:pPr>
        <w:ind w:left="454" w:hanging="454"/>
      </w:pPr>
      <w:rPr>
        <w:rFonts w:hint="eastAsia"/>
        <w:sz w:val="21"/>
        <w:szCs w:val="21"/>
      </w:rPr>
    </w:lvl>
    <w:lvl w:ilvl="2">
      <w:start w:val="1"/>
      <w:numFmt w:val="decimal"/>
      <w:pStyle w:val="XBRLTitle3"/>
      <w:suff w:val="space"/>
      <w:lvlText w:val="%1.%2.%3"/>
      <w:lvlJc w:val="left"/>
      <w:pPr>
        <w:ind w:left="1050" w:hanging="62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3">
      <w:start w:val="1"/>
      <w:numFmt w:val="decimal"/>
      <w:pStyle w:val="XBRLTitle4"/>
      <w:suff w:val="space"/>
      <w:lvlText w:val="%1.%2.%3.%4"/>
      <w:lvlJc w:val="left"/>
      <w:pPr>
        <w:ind w:left="794" w:hanging="794"/>
      </w:pPr>
      <w:rPr>
        <w:rFonts w:hint="eastAsia"/>
      </w:rPr>
    </w:lvl>
    <w:lvl w:ilvl="4">
      <w:start w:val="1"/>
      <w:numFmt w:val="decimal"/>
      <w:pStyle w:val="XBRLTitle5"/>
      <w:suff w:val="space"/>
      <w:lvlText w:val="%1.%2.%3.%4.%5"/>
      <w:lvlJc w:val="left"/>
      <w:pPr>
        <w:ind w:left="1021" w:hanging="1021"/>
      </w:pPr>
      <w:rPr>
        <w:rFonts w:hint="eastAsia"/>
      </w:rPr>
    </w:lvl>
    <w:lvl w:ilvl="5">
      <w:start w:val="1"/>
      <w:numFmt w:val="decimal"/>
      <w:pStyle w:val="XBRLTitle6"/>
      <w:suff w:val="space"/>
      <w:lvlText w:val="%1.%2.%3.%4.%5.%6"/>
      <w:lvlJc w:val="left"/>
      <w:pPr>
        <w:ind w:left="1021" w:hanging="1021"/>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8475E98"/>
    <w:multiLevelType w:val="multilevel"/>
    <w:tmpl w:val="58475E98"/>
    <w:lvl w:ilvl="0">
      <w:start w:val="1"/>
      <w:numFmt w:val="decimal"/>
      <w:suff w:val="nothing"/>
      <w:lvlText w:val="%1、"/>
      <w:lvlJc w:val="left"/>
      <w:pPr>
        <w:ind w:left="782" w:hanging="36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6" w15:restartNumberingAfterBreak="0">
    <w:nsid w:val="62830D10"/>
    <w:multiLevelType w:val="multilevel"/>
    <w:tmpl w:val="62830D10"/>
    <w:lvl w:ilvl="0">
      <w:start w:val="1"/>
      <w:numFmt w:val="upperLetter"/>
      <w:pStyle w:val="AOA"/>
      <w:lvlText w:val="(%1)"/>
      <w:lvlJc w:val="left"/>
      <w:pPr>
        <w:tabs>
          <w:tab w:val="left"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7" w15:restartNumberingAfterBreak="0">
    <w:nsid w:val="65164B80"/>
    <w:multiLevelType w:val="multilevel"/>
    <w:tmpl w:val="65164B80"/>
    <w:lvl w:ilvl="0">
      <w:start w:val="1"/>
      <w:numFmt w:val="decimal"/>
      <w:pStyle w:val="1"/>
      <w:lvlText w:val="%1"/>
      <w:lvlJc w:val="left"/>
      <w:pPr>
        <w:tabs>
          <w:tab w:val="left" w:pos="432"/>
        </w:tabs>
        <w:ind w:left="432" w:hanging="432"/>
      </w:pPr>
    </w:lvl>
    <w:lvl w:ilvl="1">
      <w:start w:val="1"/>
      <w:numFmt w:val="decimal"/>
      <w:pStyle w:val="21"/>
      <w:lvlText w:val="%1.%2"/>
      <w:lvlJc w:val="left"/>
      <w:pPr>
        <w:tabs>
          <w:tab w:val="left" w:pos="1427"/>
        </w:tabs>
        <w:ind w:left="1427" w:hanging="576"/>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8" w15:restartNumberingAfterBreak="0">
    <w:nsid w:val="6F025FAA"/>
    <w:multiLevelType w:val="multilevel"/>
    <w:tmpl w:val="6F025FAA"/>
    <w:lvl w:ilvl="0">
      <w:start w:val="1"/>
      <w:numFmt w:val="none"/>
      <w:pStyle w:val="AODefHead"/>
      <w:suff w:val="nothing"/>
      <w:lvlText w:val=""/>
      <w:lvlJc w:val="left"/>
      <w:pPr>
        <w:ind w:left="720" w:firstLine="0"/>
      </w:pPr>
      <w:rPr>
        <w:rFonts w:ascii="Times New Roman" w:hAnsi="Times New Roman"/>
        <w:b/>
        <w:i w:val="0"/>
        <w:caps/>
        <w:smallCaps w:val="0"/>
        <w:sz w:val="22"/>
      </w:rPr>
    </w:lvl>
    <w:lvl w:ilvl="1">
      <w:start w:val="1"/>
      <w:numFmt w:val="none"/>
      <w:pStyle w:val="AODefPara"/>
      <w:suff w:val="nothing"/>
      <w:lvlText w:val=""/>
      <w:lvlJc w:val="left"/>
      <w:pPr>
        <w:ind w:left="720" w:firstLine="0"/>
      </w:pPr>
      <w:rPr>
        <w:rFonts w:ascii="Times New Roman" w:hAnsi="Times New Roman"/>
        <w:b/>
        <w:i w:val="0"/>
        <w:caps w:val="0"/>
        <w:smallCaps w:val="0"/>
        <w:sz w:val="22"/>
      </w:rPr>
    </w:lvl>
    <w:lvl w:ilvl="2">
      <w:start w:val="1"/>
      <w:numFmt w:val="lowerLetter"/>
      <w:lvlText w:val="(%3)"/>
      <w:lvlJc w:val="left"/>
      <w:pPr>
        <w:tabs>
          <w:tab w:val="left" w:pos="1440"/>
        </w:tabs>
        <w:ind w:left="1440" w:hanging="720"/>
      </w:pPr>
      <w:rPr>
        <w:rFonts w:ascii="Times New Roman" w:hAnsi="Times New Roman"/>
        <w:b w:val="0"/>
        <w:i w:val="0"/>
        <w:sz w:val="22"/>
      </w:rPr>
    </w:lvl>
    <w:lvl w:ilvl="3">
      <w:start w:val="1"/>
      <w:numFmt w:val="lowerRoman"/>
      <w:lvlText w:val="(%4)"/>
      <w:lvlJc w:val="left"/>
      <w:pPr>
        <w:tabs>
          <w:tab w:val="left" w:pos="1440"/>
        </w:tabs>
        <w:ind w:left="1440" w:hanging="720"/>
      </w:pPr>
      <w:rPr>
        <w:rFonts w:ascii="Times New Roman" w:hAnsi="Times New Roman"/>
        <w:b w:val="0"/>
        <w:i w:val="0"/>
        <w:sz w:val="22"/>
      </w:rPr>
    </w:lvl>
    <w:lvl w:ilvl="4">
      <w:start w:val="1"/>
      <w:numFmt w:val="lowerLetter"/>
      <w:lvlText w:val="(%5)"/>
      <w:lvlJc w:val="left"/>
      <w:pPr>
        <w:tabs>
          <w:tab w:val="left" w:pos="2160"/>
        </w:tabs>
        <w:ind w:left="2160" w:hanging="720"/>
      </w:pPr>
      <w:rPr>
        <w:rFonts w:ascii="Times New Roman" w:hAnsi="Times New Roman"/>
        <w:b w:val="0"/>
        <w:i w:val="0"/>
        <w:sz w:val="22"/>
      </w:rPr>
    </w:lvl>
    <w:lvl w:ilvl="5">
      <w:start w:val="1"/>
      <w:numFmt w:val="lowerRoman"/>
      <w:lvlText w:val="(%6)"/>
      <w:lvlJc w:val="left"/>
      <w:pPr>
        <w:tabs>
          <w:tab w:val="left" w:pos="2160"/>
        </w:tabs>
        <w:ind w:left="2160" w:hanging="720"/>
      </w:pPr>
      <w:rPr>
        <w:rFonts w:ascii="Times New Roman" w:hAnsi="Times New Roman"/>
        <w:b w:val="0"/>
        <w:i w:val="0"/>
        <w:sz w:val="22"/>
      </w:rPr>
    </w:lvl>
    <w:lvl w:ilvl="6">
      <w:start w:val="1"/>
      <w:numFmt w:val="upperLetter"/>
      <w:lvlText w:val="(%7)"/>
      <w:lvlJc w:val="left"/>
      <w:pPr>
        <w:tabs>
          <w:tab w:val="left" w:pos="2160"/>
        </w:tabs>
        <w:ind w:left="2160" w:hanging="720"/>
      </w:pPr>
    </w:lvl>
    <w:lvl w:ilvl="7">
      <w:start w:val="1"/>
      <w:numFmt w:val="decimal"/>
      <w:lvlText w:val="(%8)"/>
      <w:lvlJc w:val="left"/>
      <w:pPr>
        <w:tabs>
          <w:tab w:val="left" w:pos="1440"/>
        </w:tabs>
        <w:ind w:left="1440" w:hanging="720"/>
      </w:pPr>
      <w:rPr>
        <w:rFonts w:ascii="Times New Roman" w:hAnsi="Times New Roman"/>
        <w:b w:val="0"/>
        <w:i w:val="0"/>
        <w:sz w:val="22"/>
      </w:rPr>
    </w:lvl>
    <w:lvl w:ilvl="8">
      <w:start w:val="1"/>
      <w:numFmt w:val="decimal"/>
      <w:lvlText w:val="(%9)"/>
      <w:lvlJc w:val="left"/>
      <w:pPr>
        <w:tabs>
          <w:tab w:val="left" w:pos="2160"/>
        </w:tabs>
        <w:ind w:left="2160" w:hanging="720"/>
      </w:pPr>
      <w:rPr>
        <w:rFonts w:ascii="Times New Roman" w:hAnsi="Times New Roman"/>
        <w:b w:val="0"/>
        <w:i w:val="0"/>
        <w:sz w:val="22"/>
      </w:rPr>
    </w:lvl>
  </w:abstractNum>
  <w:abstractNum w:abstractNumId="29" w15:restartNumberingAfterBreak="0">
    <w:nsid w:val="6F8D3D7A"/>
    <w:multiLevelType w:val="singleLevel"/>
    <w:tmpl w:val="6F8D3D7A"/>
    <w:lvl w:ilvl="0">
      <w:start w:val="1"/>
      <w:numFmt w:val="bullet"/>
      <w:pStyle w:val="AOBullet3"/>
      <w:lvlText w:val=""/>
      <w:lvlJc w:val="left"/>
      <w:pPr>
        <w:tabs>
          <w:tab w:val="left" w:pos="720"/>
        </w:tabs>
        <w:ind w:left="720" w:hanging="720"/>
      </w:pPr>
      <w:rPr>
        <w:rFonts w:ascii="Symbol" w:hAnsi="Symbol" w:hint="default"/>
      </w:rPr>
    </w:lvl>
  </w:abstractNum>
  <w:abstractNum w:abstractNumId="30" w15:restartNumberingAfterBreak="0">
    <w:nsid w:val="761544F7"/>
    <w:multiLevelType w:val="multilevel"/>
    <w:tmpl w:val="761544F7"/>
    <w:lvl w:ilvl="0">
      <w:start w:val="1"/>
      <w:numFmt w:val="decimal"/>
      <w:pStyle w:val="AOGenNum1"/>
      <w:lvlText w:val="%1."/>
      <w:lvlJc w:val="left"/>
      <w:pPr>
        <w:tabs>
          <w:tab w:val="left" w:pos="720"/>
        </w:tabs>
        <w:ind w:left="720" w:hanging="720"/>
      </w:pPr>
    </w:lvl>
    <w:lvl w:ilvl="1">
      <w:start w:val="1"/>
      <w:numFmt w:val="decimal"/>
      <w:pStyle w:val="AOGenNum1Para"/>
      <w:lvlText w:val="%1.%2"/>
      <w:lvlJc w:val="left"/>
      <w:pPr>
        <w:tabs>
          <w:tab w:val="left" w:pos="720"/>
        </w:tabs>
        <w:ind w:left="720" w:hanging="720"/>
      </w:pPr>
    </w:lvl>
    <w:lvl w:ilvl="2">
      <w:start w:val="1"/>
      <w:numFmt w:val="lowerLetter"/>
      <w:pStyle w:val="AOGenNum1List"/>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num w:numId="1">
    <w:abstractNumId w:val="27"/>
  </w:num>
  <w:num w:numId="2">
    <w:abstractNumId w:val="5"/>
  </w:num>
  <w:num w:numId="3">
    <w:abstractNumId w:val="13"/>
  </w:num>
  <w:num w:numId="4">
    <w:abstractNumId w:val="4"/>
    <w:lvlOverride w:ilvl="0">
      <w:startOverride w:val="2"/>
    </w:lvlOverride>
  </w:num>
  <w:num w:numId="5">
    <w:abstractNumId w:val="16"/>
    <w:lvlOverride w:ilvl="0">
      <w:startOverride w:val="1"/>
    </w:lvlOverride>
  </w:num>
  <w:num w:numId="6">
    <w:abstractNumId w:val="19"/>
  </w:num>
  <w:num w:numId="7">
    <w:abstractNumId w:val="11"/>
  </w:num>
  <w:num w:numId="8">
    <w:abstractNumId w:val="28"/>
  </w:num>
  <w:num w:numId="9">
    <w:abstractNumId w:val="22"/>
  </w:num>
  <w:num w:numId="10">
    <w:abstractNumId w:val="26"/>
  </w:num>
  <w:num w:numId="11">
    <w:abstractNumId w:val="21"/>
  </w:num>
  <w:num w:numId="12">
    <w:abstractNumId w:val="1"/>
  </w:num>
  <w:num w:numId="13">
    <w:abstractNumId w:val="15"/>
  </w:num>
  <w:num w:numId="14">
    <w:abstractNumId w:val="30"/>
  </w:num>
  <w:num w:numId="15">
    <w:abstractNumId w:val="17"/>
  </w:num>
  <w:num w:numId="16">
    <w:abstractNumId w:val="20"/>
  </w:num>
  <w:num w:numId="17">
    <w:abstractNumId w:val="23"/>
  </w:num>
  <w:num w:numId="18">
    <w:abstractNumId w:val="6"/>
  </w:num>
  <w:num w:numId="19">
    <w:abstractNumId w:val="9"/>
  </w:num>
  <w:num w:numId="20">
    <w:abstractNumId w:val="29"/>
  </w:num>
  <w:num w:numId="21">
    <w:abstractNumId w:val="18"/>
  </w:num>
  <w:num w:numId="22">
    <w:abstractNumId w:val="7"/>
  </w:num>
  <w:num w:numId="23">
    <w:abstractNumId w:val="0"/>
  </w:num>
  <w:num w:numId="24">
    <w:abstractNumId w:val="12"/>
  </w:num>
  <w:num w:numId="25">
    <w:abstractNumId w:val="8"/>
  </w:num>
  <w:num w:numId="26">
    <w:abstractNumId w:val="10"/>
  </w:num>
  <w:num w:numId="27">
    <w:abstractNumId w:val="24"/>
  </w:num>
  <w:num w:numId="28">
    <w:abstractNumId w:val="14"/>
  </w:num>
  <w:num w:numId="29">
    <w:abstractNumId w:val="25"/>
  </w:num>
  <w:num w:numId="30">
    <w:abstractNumId w:val="2"/>
  </w:num>
  <w:num w:numId="31">
    <w:abstractNumId w:val="3"/>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Formatting/>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6C"/>
    <w:rsid w:val="00003177"/>
    <w:rsid w:val="00003FD9"/>
    <w:rsid w:val="00004062"/>
    <w:rsid w:val="000041E0"/>
    <w:rsid w:val="0000434F"/>
    <w:rsid w:val="000046F8"/>
    <w:rsid w:val="000076CF"/>
    <w:rsid w:val="00007F5F"/>
    <w:rsid w:val="000107FE"/>
    <w:rsid w:val="000116E9"/>
    <w:rsid w:val="000121F7"/>
    <w:rsid w:val="000154D1"/>
    <w:rsid w:val="000157DD"/>
    <w:rsid w:val="00020285"/>
    <w:rsid w:val="00020E65"/>
    <w:rsid w:val="00020F75"/>
    <w:rsid w:val="00025109"/>
    <w:rsid w:val="00032488"/>
    <w:rsid w:val="0003282E"/>
    <w:rsid w:val="00032C6E"/>
    <w:rsid w:val="00033B0F"/>
    <w:rsid w:val="00036B0A"/>
    <w:rsid w:val="00037455"/>
    <w:rsid w:val="00043410"/>
    <w:rsid w:val="00044190"/>
    <w:rsid w:val="000444CE"/>
    <w:rsid w:val="00051753"/>
    <w:rsid w:val="00051C9C"/>
    <w:rsid w:val="00052DFA"/>
    <w:rsid w:val="00055B33"/>
    <w:rsid w:val="0005685D"/>
    <w:rsid w:val="00061E2A"/>
    <w:rsid w:val="00063AF3"/>
    <w:rsid w:val="000650A0"/>
    <w:rsid w:val="0006555E"/>
    <w:rsid w:val="00065687"/>
    <w:rsid w:val="00066299"/>
    <w:rsid w:val="00070CF7"/>
    <w:rsid w:val="00071FBB"/>
    <w:rsid w:val="00073260"/>
    <w:rsid w:val="000750FA"/>
    <w:rsid w:val="0007545D"/>
    <w:rsid w:val="00076016"/>
    <w:rsid w:val="00076779"/>
    <w:rsid w:val="00076984"/>
    <w:rsid w:val="00077F6E"/>
    <w:rsid w:val="000802F6"/>
    <w:rsid w:val="00084539"/>
    <w:rsid w:val="00086E0D"/>
    <w:rsid w:val="00086F03"/>
    <w:rsid w:val="00087212"/>
    <w:rsid w:val="000939A7"/>
    <w:rsid w:val="00097E5A"/>
    <w:rsid w:val="000A0396"/>
    <w:rsid w:val="000A12CD"/>
    <w:rsid w:val="000A1D8C"/>
    <w:rsid w:val="000A20B3"/>
    <w:rsid w:val="000A228C"/>
    <w:rsid w:val="000A2AEA"/>
    <w:rsid w:val="000A3F5B"/>
    <w:rsid w:val="000A43BB"/>
    <w:rsid w:val="000A660C"/>
    <w:rsid w:val="000A75C4"/>
    <w:rsid w:val="000A767E"/>
    <w:rsid w:val="000A7C73"/>
    <w:rsid w:val="000A7FF7"/>
    <w:rsid w:val="000B12A6"/>
    <w:rsid w:val="000B3B76"/>
    <w:rsid w:val="000B5405"/>
    <w:rsid w:val="000B5E01"/>
    <w:rsid w:val="000B5ECE"/>
    <w:rsid w:val="000B7F2F"/>
    <w:rsid w:val="000C4BCE"/>
    <w:rsid w:val="000C63FF"/>
    <w:rsid w:val="000C647E"/>
    <w:rsid w:val="000C651D"/>
    <w:rsid w:val="000C66F7"/>
    <w:rsid w:val="000D0F8F"/>
    <w:rsid w:val="000D2098"/>
    <w:rsid w:val="000D20A8"/>
    <w:rsid w:val="000D2A30"/>
    <w:rsid w:val="000D2DE5"/>
    <w:rsid w:val="000D3450"/>
    <w:rsid w:val="000D4ECE"/>
    <w:rsid w:val="000D6BB3"/>
    <w:rsid w:val="000D70BC"/>
    <w:rsid w:val="000D77A3"/>
    <w:rsid w:val="000D7B87"/>
    <w:rsid w:val="000D7F1D"/>
    <w:rsid w:val="000E08B0"/>
    <w:rsid w:val="000E2512"/>
    <w:rsid w:val="000E34AD"/>
    <w:rsid w:val="000E3CC1"/>
    <w:rsid w:val="000E4BB1"/>
    <w:rsid w:val="000E4D00"/>
    <w:rsid w:val="000E530E"/>
    <w:rsid w:val="000E66B4"/>
    <w:rsid w:val="000F019C"/>
    <w:rsid w:val="000F03FC"/>
    <w:rsid w:val="000F4725"/>
    <w:rsid w:val="000F7AB7"/>
    <w:rsid w:val="00105E8D"/>
    <w:rsid w:val="0010788C"/>
    <w:rsid w:val="001078EE"/>
    <w:rsid w:val="00107B0C"/>
    <w:rsid w:val="00110679"/>
    <w:rsid w:val="0011097F"/>
    <w:rsid w:val="00111A0E"/>
    <w:rsid w:val="00111B72"/>
    <w:rsid w:val="00115D78"/>
    <w:rsid w:val="00116D53"/>
    <w:rsid w:val="00117972"/>
    <w:rsid w:val="00120955"/>
    <w:rsid w:val="00121334"/>
    <w:rsid w:val="00123542"/>
    <w:rsid w:val="00125D0D"/>
    <w:rsid w:val="00126BE0"/>
    <w:rsid w:val="00130E61"/>
    <w:rsid w:val="0013228E"/>
    <w:rsid w:val="001323FB"/>
    <w:rsid w:val="00132446"/>
    <w:rsid w:val="001324B5"/>
    <w:rsid w:val="00133A93"/>
    <w:rsid w:val="00133B7D"/>
    <w:rsid w:val="00133BB7"/>
    <w:rsid w:val="001356CF"/>
    <w:rsid w:val="00136AF3"/>
    <w:rsid w:val="00141C6F"/>
    <w:rsid w:val="00142008"/>
    <w:rsid w:val="0014203D"/>
    <w:rsid w:val="001422B0"/>
    <w:rsid w:val="00144630"/>
    <w:rsid w:val="00144A56"/>
    <w:rsid w:val="001479E0"/>
    <w:rsid w:val="00151E99"/>
    <w:rsid w:val="00152F6E"/>
    <w:rsid w:val="00154EFE"/>
    <w:rsid w:val="0015568C"/>
    <w:rsid w:val="00156038"/>
    <w:rsid w:val="0016258F"/>
    <w:rsid w:val="00165ED9"/>
    <w:rsid w:val="001660C4"/>
    <w:rsid w:val="001715E0"/>
    <w:rsid w:val="00172A27"/>
    <w:rsid w:val="00172BBA"/>
    <w:rsid w:val="00173ABD"/>
    <w:rsid w:val="00175666"/>
    <w:rsid w:val="00177513"/>
    <w:rsid w:val="00177BAE"/>
    <w:rsid w:val="00180E11"/>
    <w:rsid w:val="00180F5B"/>
    <w:rsid w:val="00184D04"/>
    <w:rsid w:val="00187012"/>
    <w:rsid w:val="00190895"/>
    <w:rsid w:val="00192439"/>
    <w:rsid w:val="00193227"/>
    <w:rsid w:val="001934CE"/>
    <w:rsid w:val="001934DC"/>
    <w:rsid w:val="00193FC3"/>
    <w:rsid w:val="001951E6"/>
    <w:rsid w:val="00197273"/>
    <w:rsid w:val="00197A96"/>
    <w:rsid w:val="001A0227"/>
    <w:rsid w:val="001A33DC"/>
    <w:rsid w:val="001A3654"/>
    <w:rsid w:val="001A5639"/>
    <w:rsid w:val="001A6D34"/>
    <w:rsid w:val="001B0321"/>
    <w:rsid w:val="001B4AB9"/>
    <w:rsid w:val="001B4B9C"/>
    <w:rsid w:val="001B5358"/>
    <w:rsid w:val="001B64C9"/>
    <w:rsid w:val="001B7D42"/>
    <w:rsid w:val="001B7D4C"/>
    <w:rsid w:val="001C2DC9"/>
    <w:rsid w:val="001C6B9D"/>
    <w:rsid w:val="001C798A"/>
    <w:rsid w:val="001D16BB"/>
    <w:rsid w:val="001D25CB"/>
    <w:rsid w:val="001D3204"/>
    <w:rsid w:val="001D3606"/>
    <w:rsid w:val="001D40E8"/>
    <w:rsid w:val="001D49B3"/>
    <w:rsid w:val="001D5092"/>
    <w:rsid w:val="001D67E3"/>
    <w:rsid w:val="001D7865"/>
    <w:rsid w:val="001D7C83"/>
    <w:rsid w:val="001D7DB1"/>
    <w:rsid w:val="001E0860"/>
    <w:rsid w:val="001E09A0"/>
    <w:rsid w:val="001E1119"/>
    <w:rsid w:val="001E4F66"/>
    <w:rsid w:val="001E5D94"/>
    <w:rsid w:val="001E73AD"/>
    <w:rsid w:val="001E7A17"/>
    <w:rsid w:val="001F1A88"/>
    <w:rsid w:val="001F21AD"/>
    <w:rsid w:val="001F22F0"/>
    <w:rsid w:val="001F31E3"/>
    <w:rsid w:val="001F39AB"/>
    <w:rsid w:val="001F50BE"/>
    <w:rsid w:val="00200143"/>
    <w:rsid w:val="002010E7"/>
    <w:rsid w:val="00202073"/>
    <w:rsid w:val="00202EA7"/>
    <w:rsid w:val="00203374"/>
    <w:rsid w:val="00203F83"/>
    <w:rsid w:val="00205968"/>
    <w:rsid w:val="00210359"/>
    <w:rsid w:val="00211398"/>
    <w:rsid w:val="00211EF0"/>
    <w:rsid w:val="00213540"/>
    <w:rsid w:val="00214B37"/>
    <w:rsid w:val="00215FD5"/>
    <w:rsid w:val="00216D6D"/>
    <w:rsid w:val="002202DB"/>
    <w:rsid w:val="00220B2B"/>
    <w:rsid w:val="00222A34"/>
    <w:rsid w:val="00224045"/>
    <w:rsid w:val="0022443C"/>
    <w:rsid w:val="00225A66"/>
    <w:rsid w:val="00225E22"/>
    <w:rsid w:val="0022657F"/>
    <w:rsid w:val="002301FD"/>
    <w:rsid w:val="002306C9"/>
    <w:rsid w:val="00230FEF"/>
    <w:rsid w:val="0023136E"/>
    <w:rsid w:val="00241F4C"/>
    <w:rsid w:val="002429C1"/>
    <w:rsid w:val="002438D7"/>
    <w:rsid w:val="00246F02"/>
    <w:rsid w:val="00247213"/>
    <w:rsid w:val="002534A2"/>
    <w:rsid w:val="00254BB3"/>
    <w:rsid w:val="00254F45"/>
    <w:rsid w:val="00257519"/>
    <w:rsid w:val="00257F0B"/>
    <w:rsid w:val="00261330"/>
    <w:rsid w:val="00263AAA"/>
    <w:rsid w:val="00263C37"/>
    <w:rsid w:val="00265115"/>
    <w:rsid w:val="00265DB7"/>
    <w:rsid w:val="0026657A"/>
    <w:rsid w:val="002676DB"/>
    <w:rsid w:val="0026798A"/>
    <w:rsid w:val="00271AFA"/>
    <w:rsid w:val="00273EC7"/>
    <w:rsid w:val="002745FE"/>
    <w:rsid w:val="00274981"/>
    <w:rsid w:val="00275CC9"/>
    <w:rsid w:val="00276462"/>
    <w:rsid w:val="002777CC"/>
    <w:rsid w:val="0027792D"/>
    <w:rsid w:val="0028391E"/>
    <w:rsid w:val="002848F2"/>
    <w:rsid w:val="00286F83"/>
    <w:rsid w:val="00294E37"/>
    <w:rsid w:val="00295CDD"/>
    <w:rsid w:val="002A047E"/>
    <w:rsid w:val="002A09A5"/>
    <w:rsid w:val="002A2929"/>
    <w:rsid w:val="002A387B"/>
    <w:rsid w:val="002A4B0D"/>
    <w:rsid w:val="002A4E06"/>
    <w:rsid w:val="002A57F3"/>
    <w:rsid w:val="002A59F4"/>
    <w:rsid w:val="002A641B"/>
    <w:rsid w:val="002A6F70"/>
    <w:rsid w:val="002A7C23"/>
    <w:rsid w:val="002B275C"/>
    <w:rsid w:val="002B2E25"/>
    <w:rsid w:val="002B569D"/>
    <w:rsid w:val="002B58F1"/>
    <w:rsid w:val="002B5C75"/>
    <w:rsid w:val="002B6AD7"/>
    <w:rsid w:val="002C1F72"/>
    <w:rsid w:val="002C445C"/>
    <w:rsid w:val="002C5485"/>
    <w:rsid w:val="002C6503"/>
    <w:rsid w:val="002D0ED3"/>
    <w:rsid w:val="002D348C"/>
    <w:rsid w:val="002D362D"/>
    <w:rsid w:val="002D3913"/>
    <w:rsid w:val="002D41F5"/>
    <w:rsid w:val="002D5512"/>
    <w:rsid w:val="002D72BE"/>
    <w:rsid w:val="002E00F3"/>
    <w:rsid w:val="002E202F"/>
    <w:rsid w:val="002E330A"/>
    <w:rsid w:val="002E482E"/>
    <w:rsid w:val="002E4C52"/>
    <w:rsid w:val="002F2F85"/>
    <w:rsid w:val="002F3585"/>
    <w:rsid w:val="002F393A"/>
    <w:rsid w:val="002F4139"/>
    <w:rsid w:val="002F48DC"/>
    <w:rsid w:val="002F493C"/>
    <w:rsid w:val="003007CA"/>
    <w:rsid w:val="00300CD5"/>
    <w:rsid w:val="0030240A"/>
    <w:rsid w:val="0030700C"/>
    <w:rsid w:val="003102B5"/>
    <w:rsid w:val="0031418F"/>
    <w:rsid w:val="003170FA"/>
    <w:rsid w:val="00321792"/>
    <w:rsid w:val="00321919"/>
    <w:rsid w:val="00325605"/>
    <w:rsid w:val="0032679C"/>
    <w:rsid w:val="003302F3"/>
    <w:rsid w:val="0033315C"/>
    <w:rsid w:val="00334073"/>
    <w:rsid w:val="0034218A"/>
    <w:rsid w:val="003434F6"/>
    <w:rsid w:val="003463AC"/>
    <w:rsid w:val="00347280"/>
    <w:rsid w:val="003512D1"/>
    <w:rsid w:val="00352E37"/>
    <w:rsid w:val="00353CF8"/>
    <w:rsid w:val="003549C5"/>
    <w:rsid w:val="00354BC3"/>
    <w:rsid w:val="0035565E"/>
    <w:rsid w:val="00355CB4"/>
    <w:rsid w:val="00356631"/>
    <w:rsid w:val="00357C62"/>
    <w:rsid w:val="003609A1"/>
    <w:rsid w:val="0036228F"/>
    <w:rsid w:val="00362782"/>
    <w:rsid w:val="00362A12"/>
    <w:rsid w:val="00363CDE"/>
    <w:rsid w:val="00364046"/>
    <w:rsid w:val="003715FD"/>
    <w:rsid w:val="003733B0"/>
    <w:rsid w:val="00373C28"/>
    <w:rsid w:val="00376421"/>
    <w:rsid w:val="00376915"/>
    <w:rsid w:val="00376E24"/>
    <w:rsid w:val="003771A3"/>
    <w:rsid w:val="00380FEF"/>
    <w:rsid w:val="0038155A"/>
    <w:rsid w:val="00382901"/>
    <w:rsid w:val="00382AB0"/>
    <w:rsid w:val="00382E7B"/>
    <w:rsid w:val="003833ED"/>
    <w:rsid w:val="0038448D"/>
    <w:rsid w:val="003847FA"/>
    <w:rsid w:val="0038652C"/>
    <w:rsid w:val="003866B6"/>
    <w:rsid w:val="00387545"/>
    <w:rsid w:val="00392586"/>
    <w:rsid w:val="0039349A"/>
    <w:rsid w:val="003A03DA"/>
    <w:rsid w:val="003A06BE"/>
    <w:rsid w:val="003A191C"/>
    <w:rsid w:val="003A23ED"/>
    <w:rsid w:val="003A3BFC"/>
    <w:rsid w:val="003A6583"/>
    <w:rsid w:val="003A7273"/>
    <w:rsid w:val="003A7A5F"/>
    <w:rsid w:val="003A7C32"/>
    <w:rsid w:val="003B02FD"/>
    <w:rsid w:val="003B08F1"/>
    <w:rsid w:val="003B24F2"/>
    <w:rsid w:val="003C2164"/>
    <w:rsid w:val="003C3555"/>
    <w:rsid w:val="003C6C7A"/>
    <w:rsid w:val="003C7862"/>
    <w:rsid w:val="003D11B9"/>
    <w:rsid w:val="003D122C"/>
    <w:rsid w:val="003D1FFF"/>
    <w:rsid w:val="003D24B5"/>
    <w:rsid w:val="003D26BA"/>
    <w:rsid w:val="003D379A"/>
    <w:rsid w:val="003D3D33"/>
    <w:rsid w:val="003D3E6A"/>
    <w:rsid w:val="003D5968"/>
    <w:rsid w:val="003D6C99"/>
    <w:rsid w:val="003E00F6"/>
    <w:rsid w:val="003E117D"/>
    <w:rsid w:val="003E2458"/>
    <w:rsid w:val="003E24B4"/>
    <w:rsid w:val="003E3ACE"/>
    <w:rsid w:val="003E7660"/>
    <w:rsid w:val="003F525C"/>
    <w:rsid w:val="003F5B73"/>
    <w:rsid w:val="003F5C59"/>
    <w:rsid w:val="003F5D1B"/>
    <w:rsid w:val="003F649D"/>
    <w:rsid w:val="003F674B"/>
    <w:rsid w:val="00400BC9"/>
    <w:rsid w:val="00401B01"/>
    <w:rsid w:val="004039F3"/>
    <w:rsid w:val="00406C5A"/>
    <w:rsid w:val="0041331F"/>
    <w:rsid w:val="004133ED"/>
    <w:rsid w:val="004147F2"/>
    <w:rsid w:val="00414A5F"/>
    <w:rsid w:val="00414F34"/>
    <w:rsid w:val="00415FA6"/>
    <w:rsid w:val="004173BC"/>
    <w:rsid w:val="00420D3F"/>
    <w:rsid w:val="004223BC"/>
    <w:rsid w:val="00424518"/>
    <w:rsid w:val="0042521D"/>
    <w:rsid w:val="00425C87"/>
    <w:rsid w:val="004262AC"/>
    <w:rsid w:val="00426F0A"/>
    <w:rsid w:val="00427B49"/>
    <w:rsid w:val="004305C7"/>
    <w:rsid w:val="004312D3"/>
    <w:rsid w:val="004336FD"/>
    <w:rsid w:val="00434097"/>
    <w:rsid w:val="00435EC7"/>
    <w:rsid w:val="00436AA1"/>
    <w:rsid w:val="00437E8F"/>
    <w:rsid w:val="00440A09"/>
    <w:rsid w:val="004413A4"/>
    <w:rsid w:val="00441488"/>
    <w:rsid w:val="00441C49"/>
    <w:rsid w:val="00441CF9"/>
    <w:rsid w:val="00442D61"/>
    <w:rsid w:val="00450085"/>
    <w:rsid w:val="0045135B"/>
    <w:rsid w:val="004529F5"/>
    <w:rsid w:val="004531E6"/>
    <w:rsid w:val="004539E2"/>
    <w:rsid w:val="00453C88"/>
    <w:rsid w:val="00453ED2"/>
    <w:rsid w:val="00454D42"/>
    <w:rsid w:val="0045575F"/>
    <w:rsid w:val="00457FB5"/>
    <w:rsid w:val="0046378B"/>
    <w:rsid w:val="00464605"/>
    <w:rsid w:val="00464AD8"/>
    <w:rsid w:val="0047140A"/>
    <w:rsid w:val="00474A5E"/>
    <w:rsid w:val="00475897"/>
    <w:rsid w:val="00477C40"/>
    <w:rsid w:val="00482C91"/>
    <w:rsid w:val="004837FB"/>
    <w:rsid w:val="004842F5"/>
    <w:rsid w:val="004859E0"/>
    <w:rsid w:val="00485BEF"/>
    <w:rsid w:val="004868E2"/>
    <w:rsid w:val="00491705"/>
    <w:rsid w:val="00494AAF"/>
    <w:rsid w:val="0049598E"/>
    <w:rsid w:val="004961ED"/>
    <w:rsid w:val="004965CE"/>
    <w:rsid w:val="004A007A"/>
    <w:rsid w:val="004A03BA"/>
    <w:rsid w:val="004A1B13"/>
    <w:rsid w:val="004A367E"/>
    <w:rsid w:val="004A475B"/>
    <w:rsid w:val="004A50F8"/>
    <w:rsid w:val="004A68E8"/>
    <w:rsid w:val="004A7065"/>
    <w:rsid w:val="004A774B"/>
    <w:rsid w:val="004A7EBC"/>
    <w:rsid w:val="004B056F"/>
    <w:rsid w:val="004B0C59"/>
    <w:rsid w:val="004B2AAB"/>
    <w:rsid w:val="004B3916"/>
    <w:rsid w:val="004C2D4C"/>
    <w:rsid w:val="004C3FB6"/>
    <w:rsid w:val="004C7AD4"/>
    <w:rsid w:val="004C7C06"/>
    <w:rsid w:val="004D0185"/>
    <w:rsid w:val="004D0650"/>
    <w:rsid w:val="004D0870"/>
    <w:rsid w:val="004D1858"/>
    <w:rsid w:val="004D1ED2"/>
    <w:rsid w:val="004D2598"/>
    <w:rsid w:val="004D28C6"/>
    <w:rsid w:val="004D3748"/>
    <w:rsid w:val="004D5667"/>
    <w:rsid w:val="004D5D83"/>
    <w:rsid w:val="004D63AE"/>
    <w:rsid w:val="004D6884"/>
    <w:rsid w:val="004D69CC"/>
    <w:rsid w:val="004E039F"/>
    <w:rsid w:val="004E1068"/>
    <w:rsid w:val="004E376E"/>
    <w:rsid w:val="004E5B9F"/>
    <w:rsid w:val="004E63E2"/>
    <w:rsid w:val="004F076B"/>
    <w:rsid w:val="004F34BF"/>
    <w:rsid w:val="004F36D8"/>
    <w:rsid w:val="004F52B5"/>
    <w:rsid w:val="004F601F"/>
    <w:rsid w:val="004F725D"/>
    <w:rsid w:val="0050298E"/>
    <w:rsid w:val="005101A4"/>
    <w:rsid w:val="005109F9"/>
    <w:rsid w:val="00513ADF"/>
    <w:rsid w:val="00514514"/>
    <w:rsid w:val="00514BA1"/>
    <w:rsid w:val="00514E70"/>
    <w:rsid w:val="005178C8"/>
    <w:rsid w:val="0052003E"/>
    <w:rsid w:val="005201EE"/>
    <w:rsid w:val="005203A2"/>
    <w:rsid w:val="00523931"/>
    <w:rsid w:val="0052472F"/>
    <w:rsid w:val="00524A57"/>
    <w:rsid w:val="0052658E"/>
    <w:rsid w:val="00532B14"/>
    <w:rsid w:val="00532EAE"/>
    <w:rsid w:val="00534CE6"/>
    <w:rsid w:val="00535DCE"/>
    <w:rsid w:val="005363B5"/>
    <w:rsid w:val="00536B81"/>
    <w:rsid w:val="005421A6"/>
    <w:rsid w:val="00542636"/>
    <w:rsid w:val="00542889"/>
    <w:rsid w:val="005448DD"/>
    <w:rsid w:val="005513B3"/>
    <w:rsid w:val="00552547"/>
    <w:rsid w:val="00553779"/>
    <w:rsid w:val="00554ABC"/>
    <w:rsid w:val="00554AD9"/>
    <w:rsid w:val="00554B0D"/>
    <w:rsid w:val="005560EB"/>
    <w:rsid w:val="00556F9C"/>
    <w:rsid w:val="005629CB"/>
    <w:rsid w:val="00563CB0"/>
    <w:rsid w:val="00564D0D"/>
    <w:rsid w:val="00565E16"/>
    <w:rsid w:val="00570E31"/>
    <w:rsid w:val="00570F9B"/>
    <w:rsid w:val="00571768"/>
    <w:rsid w:val="00573B18"/>
    <w:rsid w:val="00573B6E"/>
    <w:rsid w:val="00573CFE"/>
    <w:rsid w:val="00574B0A"/>
    <w:rsid w:val="00575F1C"/>
    <w:rsid w:val="00576BFC"/>
    <w:rsid w:val="0057783D"/>
    <w:rsid w:val="00580D9A"/>
    <w:rsid w:val="00581B6C"/>
    <w:rsid w:val="0058382F"/>
    <w:rsid w:val="005861C5"/>
    <w:rsid w:val="005905B9"/>
    <w:rsid w:val="0059420F"/>
    <w:rsid w:val="005A252C"/>
    <w:rsid w:val="005A40E0"/>
    <w:rsid w:val="005A6397"/>
    <w:rsid w:val="005A71D2"/>
    <w:rsid w:val="005B0132"/>
    <w:rsid w:val="005B1B8F"/>
    <w:rsid w:val="005B3BBB"/>
    <w:rsid w:val="005B4D4D"/>
    <w:rsid w:val="005B533F"/>
    <w:rsid w:val="005B5637"/>
    <w:rsid w:val="005C0C2D"/>
    <w:rsid w:val="005C3354"/>
    <w:rsid w:val="005C36C1"/>
    <w:rsid w:val="005C41C9"/>
    <w:rsid w:val="005C47C8"/>
    <w:rsid w:val="005C4963"/>
    <w:rsid w:val="005C5597"/>
    <w:rsid w:val="005C6712"/>
    <w:rsid w:val="005D2433"/>
    <w:rsid w:val="005D3066"/>
    <w:rsid w:val="005D3A42"/>
    <w:rsid w:val="005D591A"/>
    <w:rsid w:val="005D6101"/>
    <w:rsid w:val="005D6A43"/>
    <w:rsid w:val="005E0074"/>
    <w:rsid w:val="005E155B"/>
    <w:rsid w:val="005E1F66"/>
    <w:rsid w:val="005E4CA6"/>
    <w:rsid w:val="005E4FDB"/>
    <w:rsid w:val="005F1B61"/>
    <w:rsid w:val="005F330A"/>
    <w:rsid w:val="005F3DE5"/>
    <w:rsid w:val="005F4660"/>
    <w:rsid w:val="005F5F63"/>
    <w:rsid w:val="005F6199"/>
    <w:rsid w:val="005F794E"/>
    <w:rsid w:val="005F7CDD"/>
    <w:rsid w:val="0060044C"/>
    <w:rsid w:val="006023AD"/>
    <w:rsid w:val="006046E1"/>
    <w:rsid w:val="00604974"/>
    <w:rsid w:val="00604A00"/>
    <w:rsid w:val="00604F3C"/>
    <w:rsid w:val="00604FBC"/>
    <w:rsid w:val="0060700A"/>
    <w:rsid w:val="006071FE"/>
    <w:rsid w:val="00610766"/>
    <w:rsid w:val="00610925"/>
    <w:rsid w:val="00611A6A"/>
    <w:rsid w:val="006124D2"/>
    <w:rsid w:val="006127FD"/>
    <w:rsid w:val="006172A9"/>
    <w:rsid w:val="0061793A"/>
    <w:rsid w:val="006204C6"/>
    <w:rsid w:val="00620BC5"/>
    <w:rsid w:val="00621643"/>
    <w:rsid w:val="0062238B"/>
    <w:rsid w:val="006236A8"/>
    <w:rsid w:val="006238C2"/>
    <w:rsid w:val="00626509"/>
    <w:rsid w:val="00626E64"/>
    <w:rsid w:val="006302E4"/>
    <w:rsid w:val="00630B51"/>
    <w:rsid w:val="00632204"/>
    <w:rsid w:val="00632D1F"/>
    <w:rsid w:val="0063785D"/>
    <w:rsid w:val="00640491"/>
    <w:rsid w:val="0064215E"/>
    <w:rsid w:val="006424D4"/>
    <w:rsid w:val="00643DD1"/>
    <w:rsid w:val="00645B3E"/>
    <w:rsid w:val="006510E4"/>
    <w:rsid w:val="00652369"/>
    <w:rsid w:val="0065509C"/>
    <w:rsid w:val="0065771D"/>
    <w:rsid w:val="00657C6C"/>
    <w:rsid w:val="006637F2"/>
    <w:rsid w:val="00663AB5"/>
    <w:rsid w:val="00664F69"/>
    <w:rsid w:val="00665213"/>
    <w:rsid w:val="00665464"/>
    <w:rsid w:val="00665A64"/>
    <w:rsid w:val="00667488"/>
    <w:rsid w:val="006701B2"/>
    <w:rsid w:val="006702B7"/>
    <w:rsid w:val="006709AC"/>
    <w:rsid w:val="00673A63"/>
    <w:rsid w:val="0067530B"/>
    <w:rsid w:val="00675DC7"/>
    <w:rsid w:val="00676332"/>
    <w:rsid w:val="00676D81"/>
    <w:rsid w:val="006779CF"/>
    <w:rsid w:val="00680013"/>
    <w:rsid w:val="006843DB"/>
    <w:rsid w:val="00684CFA"/>
    <w:rsid w:val="0068651E"/>
    <w:rsid w:val="006918EF"/>
    <w:rsid w:val="0069339B"/>
    <w:rsid w:val="00693E5C"/>
    <w:rsid w:val="00694FAF"/>
    <w:rsid w:val="006978CD"/>
    <w:rsid w:val="00697ADD"/>
    <w:rsid w:val="006A0B17"/>
    <w:rsid w:val="006A411C"/>
    <w:rsid w:val="006A48C8"/>
    <w:rsid w:val="006A5354"/>
    <w:rsid w:val="006A5529"/>
    <w:rsid w:val="006A6DEE"/>
    <w:rsid w:val="006A7377"/>
    <w:rsid w:val="006A7CD2"/>
    <w:rsid w:val="006B1F3B"/>
    <w:rsid w:val="006B3783"/>
    <w:rsid w:val="006B3A6F"/>
    <w:rsid w:val="006B4701"/>
    <w:rsid w:val="006B7A33"/>
    <w:rsid w:val="006C1761"/>
    <w:rsid w:val="006C21FB"/>
    <w:rsid w:val="006C267D"/>
    <w:rsid w:val="006C307F"/>
    <w:rsid w:val="006C39B0"/>
    <w:rsid w:val="006C3A09"/>
    <w:rsid w:val="006C3D0F"/>
    <w:rsid w:val="006C3FAE"/>
    <w:rsid w:val="006C4206"/>
    <w:rsid w:val="006C4771"/>
    <w:rsid w:val="006C6668"/>
    <w:rsid w:val="006D061C"/>
    <w:rsid w:val="006D19ED"/>
    <w:rsid w:val="006D2A6B"/>
    <w:rsid w:val="006D3052"/>
    <w:rsid w:val="006D347D"/>
    <w:rsid w:val="006D3649"/>
    <w:rsid w:val="006D3F86"/>
    <w:rsid w:val="006D4323"/>
    <w:rsid w:val="006D4394"/>
    <w:rsid w:val="006D454E"/>
    <w:rsid w:val="006D46BF"/>
    <w:rsid w:val="006D66E0"/>
    <w:rsid w:val="006D75CC"/>
    <w:rsid w:val="006E0065"/>
    <w:rsid w:val="006E26A8"/>
    <w:rsid w:val="006E3E24"/>
    <w:rsid w:val="006E48DD"/>
    <w:rsid w:val="006E520A"/>
    <w:rsid w:val="006E5A2D"/>
    <w:rsid w:val="006F0DFB"/>
    <w:rsid w:val="006F1652"/>
    <w:rsid w:val="006F1B2B"/>
    <w:rsid w:val="006F2281"/>
    <w:rsid w:val="006F3158"/>
    <w:rsid w:val="006F3749"/>
    <w:rsid w:val="006F3DEA"/>
    <w:rsid w:val="006F6E89"/>
    <w:rsid w:val="006F6FA8"/>
    <w:rsid w:val="006F760D"/>
    <w:rsid w:val="0070288E"/>
    <w:rsid w:val="00703D2D"/>
    <w:rsid w:val="00704CFD"/>
    <w:rsid w:val="00704F51"/>
    <w:rsid w:val="00705D0B"/>
    <w:rsid w:val="007067AE"/>
    <w:rsid w:val="007107BD"/>
    <w:rsid w:val="0071127F"/>
    <w:rsid w:val="00712417"/>
    <w:rsid w:val="007124C3"/>
    <w:rsid w:val="00712991"/>
    <w:rsid w:val="007153BB"/>
    <w:rsid w:val="007164B3"/>
    <w:rsid w:val="00717A9E"/>
    <w:rsid w:val="00717C49"/>
    <w:rsid w:val="00720C63"/>
    <w:rsid w:val="00722AD7"/>
    <w:rsid w:val="00726856"/>
    <w:rsid w:val="007306F2"/>
    <w:rsid w:val="00730FB8"/>
    <w:rsid w:val="0073177A"/>
    <w:rsid w:val="007338E6"/>
    <w:rsid w:val="00733B9D"/>
    <w:rsid w:val="00735E16"/>
    <w:rsid w:val="00737F40"/>
    <w:rsid w:val="007427AC"/>
    <w:rsid w:val="00743353"/>
    <w:rsid w:val="0074440C"/>
    <w:rsid w:val="00744BAA"/>
    <w:rsid w:val="00745C30"/>
    <w:rsid w:val="0074654D"/>
    <w:rsid w:val="00746EB6"/>
    <w:rsid w:val="00750C16"/>
    <w:rsid w:val="00750D4F"/>
    <w:rsid w:val="00751B4A"/>
    <w:rsid w:val="00751C15"/>
    <w:rsid w:val="00751D1C"/>
    <w:rsid w:val="00755331"/>
    <w:rsid w:val="00756965"/>
    <w:rsid w:val="00757FEE"/>
    <w:rsid w:val="007608FE"/>
    <w:rsid w:val="007615CA"/>
    <w:rsid w:val="00763015"/>
    <w:rsid w:val="00763596"/>
    <w:rsid w:val="00763881"/>
    <w:rsid w:val="007641ED"/>
    <w:rsid w:val="00764203"/>
    <w:rsid w:val="00765729"/>
    <w:rsid w:val="00766925"/>
    <w:rsid w:val="007673B3"/>
    <w:rsid w:val="0077174A"/>
    <w:rsid w:val="00772B96"/>
    <w:rsid w:val="00772FAC"/>
    <w:rsid w:val="007732B6"/>
    <w:rsid w:val="00776C76"/>
    <w:rsid w:val="00777199"/>
    <w:rsid w:val="0077770A"/>
    <w:rsid w:val="00780D2F"/>
    <w:rsid w:val="00781E3C"/>
    <w:rsid w:val="00783C75"/>
    <w:rsid w:val="00785ED5"/>
    <w:rsid w:val="0078665D"/>
    <w:rsid w:val="007872F9"/>
    <w:rsid w:val="007910F6"/>
    <w:rsid w:val="00791715"/>
    <w:rsid w:val="00792432"/>
    <w:rsid w:val="007929CB"/>
    <w:rsid w:val="00795568"/>
    <w:rsid w:val="00796433"/>
    <w:rsid w:val="00796F58"/>
    <w:rsid w:val="007A0182"/>
    <w:rsid w:val="007A2FF9"/>
    <w:rsid w:val="007A4204"/>
    <w:rsid w:val="007A6393"/>
    <w:rsid w:val="007B0F3A"/>
    <w:rsid w:val="007B422E"/>
    <w:rsid w:val="007B512B"/>
    <w:rsid w:val="007B60D6"/>
    <w:rsid w:val="007B6CBF"/>
    <w:rsid w:val="007C178C"/>
    <w:rsid w:val="007C3978"/>
    <w:rsid w:val="007C5565"/>
    <w:rsid w:val="007C62DC"/>
    <w:rsid w:val="007C6C01"/>
    <w:rsid w:val="007C7E00"/>
    <w:rsid w:val="007D0476"/>
    <w:rsid w:val="007D0EB8"/>
    <w:rsid w:val="007D10DE"/>
    <w:rsid w:val="007D163F"/>
    <w:rsid w:val="007D38E2"/>
    <w:rsid w:val="007D4079"/>
    <w:rsid w:val="007D5CE7"/>
    <w:rsid w:val="007D73F9"/>
    <w:rsid w:val="007E1AB8"/>
    <w:rsid w:val="007E7603"/>
    <w:rsid w:val="007E76FE"/>
    <w:rsid w:val="007F054C"/>
    <w:rsid w:val="007F06E9"/>
    <w:rsid w:val="007F3D8E"/>
    <w:rsid w:val="007F3E75"/>
    <w:rsid w:val="007F4FAE"/>
    <w:rsid w:val="007F5565"/>
    <w:rsid w:val="007F5AEC"/>
    <w:rsid w:val="007F6EDA"/>
    <w:rsid w:val="008006CC"/>
    <w:rsid w:val="008021A1"/>
    <w:rsid w:val="008022C6"/>
    <w:rsid w:val="00803751"/>
    <w:rsid w:val="008042CA"/>
    <w:rsid w:val="00806429"/>
    <w:rsid w:val="0080648C"/>
    <w:rsid w:val="00806B6F"/>
    <w:rsid w:val="0080721D"/>
    <w:rsid w:val="00807672"/>
    <w:rsid w:val="0081174C"/>
    <w:rsid w:val="00817279"/>
    <w:rsid w:val="00817678"/>
    <w:rsid w:val="00822B64"/>
    <w:rsid w:val="00823178"/>
    <w:rsid w:val="00827009"/>
    <w:rsid w:val="00827E15"/>
    <w:rsid w:val="00830D19"/>
    <w:rsid w:val="008310F7"/>
    <w:rsid w:val="0083126F"/>
    <w:rsid w:val="008312A0"/>
    <w:rsid w:val="008336E5"/>
    <w:rsid w:val="0083417D"/>
    <w:rsid w:val="008342A6"/>
    <w:rsid w:val="0083551D"/>
    <w:rsid w:val="008407CD"/>
    <w:rsid w:val="00840C3A"/>
    <w:rsid w:val="00841740"/>
    <w:rsid w:val="008417BC"/>
    <w:rsid w:val="008434DD"/>
    <w:rsid w:val="00844CEF"/>
    <w:rsid w:val="00845D81"/>
    <w:rsid w:val="00846DDA"/>
    <w:rsid w:val="00847288"/>
    <w:rsid w:val="008477E7"/>
    <w:rsid w:val="00847CF8"/>
    <w:rsid w:val="00852593"/>
    <w:rsid w:val="008542A3"/>
    <w:rsid w:val="00854E19"/>
    <w:rsid w:val="008552E0"/>
    <w:rsid w:val="00856CF4"/>
    <w:rsid w:val="008604CB"/>
    <w:rsid w:val="00862DD8"/>
    <w:rsid w:val="008636A2"/>
    <w:rsid w:val="00863823"/>
    <w:rsid w:val="00863FD4"/>
    <w:rsid w:val="008641ED"/>
    <w:rsid w:val="008659FC"/>
    <w:rsid w:val="00867EE5"/>
    <w:rsid w:val="00870B5D"/>
    <w:rsid w:val="0087251A"/>
    <w:rsid w:val="00875B2A"/>
    <w:rsid w:val="00877638"/>
    <w:rsid w:val="00881345"/>
    <w:rsid w:val="008823AE"/>
    <w:rsid w:val="00883EB4"/>
    <w:rsid w:val="00884647"/>
    <w:rsid w:val="008862EC"/>
    <w:rsid w:val="00886332"/>
    <w:rsid w:val="00893843"/>
    <w:rsid w:val="008955B4"/>
    <w:rsid w:val="00896485"/>
    <w:rsid w:val="00896806"/>
    <w:rsid w:val="008976F2"/>
    <w:rsid w:val="008A4A05"/>
    <w:rsid w:val="008A555D"/>
    <w:rsid w:val="008B015F"/>
    <w:rsid w:val="008B14FB"/>
    <w:rsid w:val="008B4766"/>
    <w:rsid w:val="008B65ED"/>
    <w:rsid w:val="008C024F"/>
    <w:rsid w:val="008C21D6"/>
    <w:rsid w:val="008C6089"/>
    <w:rsid w:val="008C700B"/>
    <w:rsid w:val="008C7801"/>
    <w:rsid w:val="008D00C0"/>
    <w:rsid w:val="008D02A0"/>
    <w:rsid w:val="008D0580"/>
    <w:rsid w:val="008D26AB"/>
    <w:rsid w:val="008D3161"/>
    <w:rsid w:val="008D3578"/>
    <w:rsid w:val="008D579F"/>
    <w:rsid w:val="008E02D1"/>
    <w:rsid w:val="008E2AD0"/>
    <w:rsid w:val="008E589C"/>
    <w:rsid w:val="008E6AF9"/>
    <w:rsid w:val="008E7086"/>
    <w:rsid w:val="008E716C"/>
    <w:rsid w:val="008F0128"/>
    <w:rsid w:val="008F05D3"/>
    <w:rsid w:val="008F136B"/>
    <w:rsid w:val="008F14B0"/>
    <w:rsid w:val="008F212A"/>
    <w:rsid w:val="008F354C"/>
    <w:rsid w:val="008F49EE"/>
    <w:rsid w:val="009001CF"/>
    <w:rsid w:val="00900238"/>
    <w:rsid w:val="00900463"/>
    <w:rsid w:val="009009BB"/>
    <w:rsid w:val="009018F0"/>
    <w:rsid w:val="0090573E"/>
    <w:rsid w:val="009129B7"/>
    <w:rsid w:val="00912FAC"/>
    <w:rsid w:val="00913A71"/>
    <w:rsid w:val="0091531A"/>
    <w:rsid w:val="009154D0"/>
    <w:rsid w:val="00916D10"/>
    <w:rsid w:val="00916F20"/>
    <w:rsid w:val="00917D46"/>
    <w:rsid w:val="009205BD"/>
    <w:rsid w:val="00920BBA"/>
    <w:rsid w:val="009217B9"/>
    <w:rsid w:val="00923239"/>
    <w:rsid w:val="00924182"/>
    <w:rsid w:val="00924550"/>
    <w:rsid w:val="009250C7"/>
    <w:rsid w:val="00925FF9"/>
    <w:rsid w:val="00927A55"/>
    <w:rsid w:val="00927D96"/>
    <w:rsid w:val="00930EC7"/>
    <w:rsid w:val="00933DF6"/>
    <w:rsid w:val="00934F74"/>
    <w:rsid w:val="00940D61"/>
    <w:rsid w:val="00941A36"/>
    <w:rsid w:val="009427E5"/>
    <w:rsid w:val="00942CC4"/>
    <w:rsid w:val="009443BF"/>
    <w:rsid w:val="00946950"/>
    <w:rsid w:val="00947C9C"/>
    <w:rsid w:val="0095042E"/>
    <w:rsid w:val="009504E6"/>
    <w:rsid w:val="00952BDC"/>
    <w:rsid w:val="00952DE9"/>
    <w:rsid w:val="009530A3"/>
    <w:rsid w:val="009540C2"/>
    <w:rsid w:val="00954BFD"/>
    <w:rsid w:val="00956834"/>
    <w:rsid w:val="009575F2"/>
    <w:rsid w:val="0095766E"/>
    <w:rsid w:val="009641C0"/>
    <w:rsid w:val="0096678A"/>
    <w:rsid w:val="00966847"/>
    <w:rsid w:val="009675BB"/>
    <w:rsid w:val="0097245F"/>
    <w:rsid w:val="00972E21"/>
    <w:rsid w:val="0097301A"/>
    <w:rsid w:val="00981C1C"/>
    <w:rsid w:val="00981CF2"/>
    <w:rsid w:val="00982FBE"/>
    <w:rsid w:val="00983C03"/>
    <w:rsid w:val="00984914"/>
    <w:rsid w:val="00986596"/>
    <w:rsid w:val="00987CE1"/>
    <w:rsid w:val="009935B6"/>
    <w:rsid w:val="009A4366"/>
    <w:rsid w:val="009A4D2D"/>
    <w:rsid w:val="009B0363"/>
    <w:rsid w:val="009B0616"/>
    <w:rsid w:val="009B0B9C"/>
    <w:rsid w:val="009B1C76"/>
    <w:rsid w:val="009B2F17"/>
    <w:rsid w:val="009B66A6"/>
    <w:rsid w:val="009B6841"/>
    <w:rsid w:val="009B7A43"/>
    <w:rsid w:val="009B7ADE"/>
    <w:rsid w:val="009B7CA8"/>
    <w:rsid w:val="009C0568"/>
    <w:rsid w:val="009C05FD"/>
    <w:rsid w:val="009C0AD3"/>
    <w:rsid w:val="009C1882"/>
    <w:rsid w:val="009C1A8B"/>
    <w:rsid w:val="009C1EEF"/>
    <w:rsid w:val="009C38F6"/>
    <w:rsid w:val="009C399E"/>
    <w:rsid w:val="009C562A"/>
    <w:rsid w:val="009C575D"/>
    <w:rsid w:val="009C5FB9"/>
    <w:rsid w:val="009C76B5"/>
    <w:rsid w:val="009C78DB"/>
    <w:rsid w:val="009D161C"/>
    <w:rsid w:val="009D5167"/>
    <w:rsid w:val="009D7C47"/>
    <w:rsid w:val="009E0122"/>
    <w:rsid w:val="009E1CC3"/>
    <w:rsid w:val="009E1E2E"/>
    <w:rsid w:val="009E56A1"/>
    <w:rsid w:val="009E5AB2"/>
    <w:rsid w:val="009F0D83"/>
    <w:rsid w:val="009F228E"/>
    <w:rsid w:val="009F3552"/>
    <w:rsid w:val="009F54B0"/>
    <w:rsid w:val="009F56CC"/>
    <w:rsid w:val="009F57A7"/>
    <w:rsid w:val="009F5C1D"/>
    <w:rsid w:val="009F5FC0"/>
    <w:rsid w:val="00A01714"/>
    <w:rsid w:val="00A11F29"/>
    <w:rsid w:val="00A121DD"/>
    <w:rsid w:val="00A146B8"/>
    <w:rsid w:val="00A14A19"/>
    <w:rsid w:val="00A15FFB"/>
    <w:rsid w:val="00A2265F"/>
    <w:rsid w:val="00A255B5"/>
    <w:rsid w:val="00A25726"/>
    <w:rsid w:val="00A31058"/>
    <w:rsid w:val="00A40887"/>
    <w:rsid w:val="00A4677A"/>
    <w:rsid w:val="00A54CAE"/>
    <w:rsid w:val="00A568A9"/>
    <w:rsid w:val="00A56EA5"/>
    <w:rsid w:val="00A603C6"/>
    <w:rsid w:val="00A604C1"/>
    <w:rsid w:val="00A63228"/>
    <w:rsid w:val="00A64321"/>
    <w:rsid w:val="00A64BEB"/>
    <w:rsid w:val="00A67449"/>
    <w:rsid w:val="00A67A0F"/>
    <w:rsid w:val="00A70A97"/>
    <w:rsid w:val="00A7134F"/>
    <w:rsid w:val="00A71C9C"/>
    <w:rsid w:val="00A73570"/>
    <w:rsid w:val="00A751B8"/>
    <w:rsid w:val="00A756AC"/>
    <w:rsid w:val="00A75CEC"/>
    <w:rsid w:val="00A76C2F"/>
    <w:rsid w:val="00A7792E"/>
    <w:rsid w:val="00A77BCC"/>
    <w:rsid w:val="00A80357"/>
    <w:rsid w:val="00A81145"/>
    <w:rsid w:val="00A8399C"/>
    <w:rsid w:val="00A86B5F"/>
    <w:rsid w:val="00A9221D"/>
    <w:rsid w:val="00A94340"/>
    <w:rsid w:val="00A97934"/>
    <w:rsid w:val="00A97E77"/>
    <w:rsid w:val="00AA037F"/>
    <w:rsid w:val="00AA077F"/>
    <w:rsid w:val="00AA07F8"/>
    <w:rsid w:val="00AA1E97"/>
    <w:rsid w:val="00AA222F"/>
    <w:rsid w:val="00AA2BF8"/>
    <w:rsid w:val="00AA322B"/>
    <w:rsid w:val="00AA3C0A"/>
    <w:rsid w:val="00AA54A8"/>
    <w:rsid w:val="00AA6975"/>
    <w:rsid w:val="00AB0630"/>
    <w:rsid w:val="00AB155B"/>
    <w:rsid w:val="00AB1F21"/>
    <w:rsid w:val="00AB4A0D"/>
    <w:rsid w:val="00AB717A"/>
    <w:rsid w:val="00AC006A"/>
    <w:rsid w:val="00AC11A6"/>
    <w:rsid w:val="00AC1746"/>
    <w:rsid w:val="00AC45FB"/>
    <w:rsid w:val="00AD10BF"/>
    <w:rsid w:val="00AD4E0A"/>
    <w:rsid w:val="00AD4F82"/>
    <w:rsid w:val="00AD5821"/>
    <w:rsid w:val="00AD6278"/>
    <w:rsid w:val="00AE02C7"/>
    <w:rsid w:val="00AE0726"/>
    <w:rsid w:val="00AE1711"/>
    <w:rsid w:val="00AE1C36"/>
    <w:rsid w:val="00AE24A7"/>
    <w:rsid w:val="00AE2B92"/>
    <w:rsid w:val="00AF1409"/>
    <w:rsid w:val="00AF2257"/>
    <w:rsid w:val="00AF3D7C"/>
    <w:rsid w:val="00AF62A1"/>
    <w:rsid w:val="00AF772F"/>
    <w:rsid w:val="00B00EA0"/>
    <w:rsid w:val="00B020A5"/>
    <w:rsid w:val="00B02AD7"/>
    <w:rsid w:val="00B035F0"/>
    <w:rsid w:val="00B07CE2"/>
    <w:rsid w:val="00B100D3"/>
    <w:rsid w:val="00B14AA2"/>
    <w:rsid w:val="00B17849"/>
    <w:rsid w:val="00B178FD"/>
    <w:rsid w:val="00B17C7A"/>
    <w:rsid w:val="00B17C80"/>
    <w:rsid w:val="00B17F15"/>
    <w:rsid w:val="00B21436"/>
    <w:rsid w:val="00B2276B"/>
    <w:rsid w:val="00B23023"/>
    <w:rsid w:val="00B245EE"/>
    <w:rsid w:val="00B319C7"/>
    <w:rsid w:val="00B31FC8"/>
    <w:rsid w:val="00B3228C"/>
    <w:rsid w:val="00B3330A"/>
    <w:rsid w:val="00B34608"/>
    <w:rsid w:val="00B35E4A"/>
    <w:rsid w:val="00B37FCA"/>
    <w:rsid w:val="00B400C7"/>
    <w:rsid w:val="00B40134"/>
    <w:rsid w:val="00B40DEA"/>
    <w:rsid w:val="00B43A5B"/>
    <w:rsid w:val="00B44692"/>
    <w:rsid w:val="00B44EFA"/>
    <w:rsid w:val="00B459F0"/>
    <w:rsid w:val="00B50DCE"/>
    <w:rsid w:val="00B51D31"/>
    <w:rsid w:val="00B52E23"/>
    <w:rsid w:val="00B53B7C"/>
    <w:rsid w:val="00B53BBE"/>
    <w:rsid w:val="00B53D50"/>
    <w:rsid w:val="00B561A5"/>
    <w:rsid w:val="00B626C1"/>
    <w:rsid w:val="00B67550"/>
    <w:rsid w:val="00B738B0"/>
    <w:rsid w:val="00B742B6"/>
    <w:rsid w:val="00B74F10"/>
    <w:rsid w:val="00B80B00"/>
    <w:rsid w:val="00B8253B"/>
    <w:rsid w:val="00B83CD3"/>
    <w:rsid w:val="00B85030"/>
    <w:rsid w:val="00B852C1"/>
    <w:rsid w:val="00B86E39"/>
    <w:rsid w:val="00B8745B"/>
    <w:rsid w:val="00B875B1"/>
    <w:rsid w:val="00B878E7"/>
    <w:rsid w:val="00B93377"/>
    <w:rsid w:val="00B93E29"/>
    <w:rsid w:val="00B95572"/>
    <w:rsid w:val="00B96706"/>
    <w:rsid w:val="00BA03EE"/>
    <w:rsid w:val="00BA1D39"/>
    <w:rsid w:val="00BA2222"/>
    <w:rsid w:val="00BA3A03"/>
    <w:rsid w:val="00BA3B78"/>
    <w:rsid w:val="00BA4873"/>
    <w:rsid w:val="00BA5C99"/>
    <w:rsid w:val="00BA7E4D"/>
    <w:rsid w:val="00BB0DD7"/>
    <w:rsid w:val="00BB1253"/>
    <w:rsid w:val="00BB18FC"/>
    <w:rsid w:val="00BB19C7"/>
    <w:rsid w:val="00BB23FE"/>
    <w:rsid w:val="00BB4670"/>
    <w:rsid w:val="00BB588E"/>
    <w:rsid w:val="00BB5977"/>
    <w:rsid w:val="00BB7351"/>
    <w:rsid w:val="00BB7E8F"/>
    <w:rsid w:val="00BC3C31"/>
    <w:rsid w:val="00BC4511"/>
    <w:rsid w:val="00BC503F"/>
    <w:rsid w:val="00BC64F0"/>
    <w:rsid w:val="00BD0067"/>
    <w:rsid w:val="00BD23EA"/>
    <w:rsid w:val="00BD2C8F"/>
    <w:rsid w:val="00BD3AE4"/>
    <w:rsid w:val="00BD429F"/>
    <w:rsid w:val="00BD5130"/>
    <w:rsid w:val="00BE0AF9"/>
    <w:rsid w:val="00BE211B"/>
    <w:rsid w:val="00BE28F2"/>
    <w:rsid w:val="00BE3435"/>
    <w:rsid w:val="00BE441F"/>
    <w:rsid w:val="00BE7237"/>
    <w:rsid w:val="00BF115A"/>
    <w:rsid w:val="00BF3162"/>
    <w:rsid w:val="00BF4804"/>
    <w:rsid w:val="00BF4A56"/>
    <w:rsid w:val="00BF4ADF"/>
    <w:rsid w:val="00BF6D4A"/>
    <w:rsid w:val="00C003A6"/>
    <w:rsid w:val="00C01947"/>
    <w:rsid w:val="00C02792"/>
    <w:rsid w:val="00C035E9"/>
    <w:rsid w:val="00C03E7B"/>
    <w:rsid w:val="00C04411"/>
    <w:rsid w:val="00C047CE"/>
    <w:rsid w:val="00C061B8"/>
    <w:rsid w:val="00C06369"/>
    <w:rsid w:val="00C06981"/>
    <w:rsid w:val="00C07D32"/>
    <w:rsid w:val="00C11204"/>
    <w:rsid w:val="00C11366"/>
    <w:rsid w:val="00C157BA"/>
    <w:rsid w:val="00C158E6"/>
    <w:rsid w:val="00C1661E"/>
    <w:rsid w:val="00C168EA"/>
    <w:rsid w:val="00C21E2E"/>
    <w:rsid w:val="00C241DD"/>
    <w:rsid w:val="00C252AF"/>
    <w:rsid w:val="00C263D5"/>
    <w:rsid w:val="00C26466"/>
    <w:rsid w:val="00C26A81"/>
    <w:rsid w:val="00C27486"/>
    <w:rsid w:val="00C27802"/>
    <w:rsid w:val="00C303CA"/>
    <w:rsid w:val="00C30AF4"/>
    <w:rsid w:val="00C348F0"/>
    <w:rsid w:val="00C35D11"/>
    <w:rsid w:val="00C35F36"/>
    <w:rsid w:val="00C36898"/>
    <w:rsid w:val="00C3773C"/>
    <w:rsid w:val="00C41D10"/>
    <w:rsid w:val="00C41DDF"/>
    <w:rsid w:val="00C42808"/>
    <w:rsid w:val="00C4347B"/>
    <w:rsid w:val="00C45F24"/>
    <w:rsid w:val="00C45FFA"/>
    <w:rsid w:val="00C5024D"/>
    <w:rsid w:val="00C51321"/>
    <w:rsid w:val="00C519FA"/>
    <w:rsid w:val="00C51CC4"/>
    <w:rsid w:val="00C52B0F"/>
    <w:rsid w:val="00C544C0"/>
    <w:rsid w:val="00C55D94"/>
    <w:rsid w:val="00C5618D"/>
    <w:rsid w:val="00C57375"/>
    <w:rsid w:val="00C60B69"/>
    <w:rsid w:val="00C60F90"/>
    <w:rsid w:val="00C6139D"/>
    <w:rsid w:val="00C61E51"/>
    <w:rsid w:val="00C621D6"/>
    <w:rsid w:val="00C646EF"/>
    <w:rsid w:val="00C66DAA"/>
    <w:rsid w:val="00C71673"/>
    <w:rsid w:val="00C728C8"/>
    <w:rsid w:val="00C72CEE"/>
    <w:rsid w:val="00C746BA"/>
    <w:rsid w:val="00C759FD"/>
    <w:rsid w:val="00C76962"/>
    <w:rsid w:val="00C773DF"/>
    <w:rsid w:val="00C77446"/>
    <w:rsid w:val="00C813CA"/>
    <w:rsid w:val="00C82079"/>
    <w:rsid w:val="00C84821"/>
    <w:rsid w:val="00C851E3"/>
    <w:rsid w:val="00C90F4A"/>
    <w:rsid w:val="00C90F5B"/>
    <w:rsid w:val="00C9238F"/>
    <w:rsid w:val="00C94488"/>
    <w:rsid w:val="00C97EC1"/>
    <w:rsid w:val="00C97EFA"/>
    <w:rsid w:val="00CA0779"/>
    <w:rsid w:val="00CA2577"/>
    <w:rsid w:val="00CA415C"/>
    <w:rsid w:val="00CA6C93"/>
    <w:rsid w:val="00CB0887"/>
    <w:rsid w:val="00CB11F6"/>
    <w:rsid w:val="00CB25D9"/>
    <w:rsid w:val="00CB39BA"/>
    <w:rsid w:val="00CB54FE"/>
    <w:rsid w:val="00CB5B3E"/>
    <w:rsid w:val="00CB5EE4"/>
    <w:rsid w:val="00CB6240"/>
    <w:rsid w:val="00CB6987"/>
    <w:rsid w:val="00CC23ED"/>
    <w:rsid w:val="00CC611B"/>
    <w:rsid w:val="00CC6BB3"/>
    <w:rsid w:val="00CC75E7"/>
    <w:rsid w:val="00CD09F0"/>
    <w:rsid w:val="00CD209A"/>
    <w:rsid w:val="00CD278E"/>
    <w:rsid w:val="00CD30F7"/>
    <w:rsid w:val="00CD380D"/>
    <w:rsid w:val="00CD39A3"/>
    <w:rsid w:val="00CD3E64"/>
    <w:rsid w:val="00CD5379"/>
    <w:rsid w:val="00CD5AC4"/>
    <w:rsid w:val="00CD6717"/>
    <w:rsid w:val="00CE560E"/>
    <w:rsid w:val="00CE5AE1"/>
    <w:rsid w:val="00CE6427"/>
    <w:rsid w:val="00CE7547"/>
    <w:rsid w:val="00CF10CB"/>
    <w:rsid w:val="00CF119A"/>
    <w:rsid w:val="00CF1AAE"/>
    <w:rsid w:val="00CF2BCE"/>
    <w:rsid w:val="00CF39A4"/>
    <w:rsid w:val="00CF4EB6"/>
    <w:rsid w:val="00CF7450"/>
    <w:rsid w:val="00CF7661"/>
    <w:rsid w:val="00D026AB"/>
    <w:rsid w:val="00D028EB"/>
    <w:rsid w:val="00D04333"/>
    <w:rsid w:val="00D04412"/>
    <w:rsid w:val="00D048D9"/>
    <w:rsid w:val="00D04BB3"/>
    <w:rsid w:val="00D0535A"/>
    <w:rsid w:val="00D07599"/>
    <w:rsid w:val="00D10230"/>
    <w:rsid w:val="00D10BDC"/>
    <w:rsid w:val="00D11463"/>
    <w:rsid w:val="00D11906"/>
    <w:rsid w:val="00D126BC"/>
    <w:rsid w:val="00D14CD3"/>
    <w:rsid w:val="00D14CDF"/>
    <w:rsid w:val="00D152C4"/>
    <w:rsid w:val="00D153EF"/>
    <w:rsid w:val="00D163CB"/>
    <w:rsid w:val="00D1787B"/>
    <w:rsid w:val="00D23073"/>
    <w:rsid w:val="00D269D5"/>
    <w:rsid w:val="00D26B82"/>
    <w:rsid w:val="00D27784"/>
    <w:rsid w:val="00D3040D"/>
    <w:rsid w:val="00D31D33"/>
    <w:rsid w:val="00D33C9E"/>
    <w:rsid w:val="00D33EEC"/>
    <w:rsid w:val="00D34E23"/>
    <w:rsid w:val="00D35573"/>
    <w:rsid w:val="00D36C2F"/>
    <w:rsid w:val="00D36E74"/>
    <w:rsid w:val="00D37829"/>
    <w:rsid w:val="00D37EC2"/>
    <w:rsid w:val="00D41248"/>
    <w:rsid w:val="00D415BF"/>
    <w:rsid w:val="00D415E6"/>
    <w:rsid w:val="00D4192E"/>
    <w:rsid w:val="00D42801"/>
    <w:rsid w:val="00D42D50"/>
    <w:rsid w:val="00D434D9"/>
    <w:rsid w:val="00D43CB5"/>
    <w:rsid w:val="00D46145"/>
    <w:rsid w:val="00D46219"/>
    <w:rsid w:val="00D4722B"/>
    <w:rsid w:val="00D47DA9"/>
    <w:rsid w:val="00D52DD1"/>
    <w:rsid w:val="00D54DA4"/>
    <w:rsid w:val="00D5634E"/>
    <w:rsid w:val="00D60E17"/>
    <w:rsid w:val="00D616B8"/>
    <w:rsid w:val="00D62211"/>
    <w:rsid w:val="00D65359"/>
    <w:rsid w:val="00D65388"/>
    <w:rsid w:val="00D66B73"/>
    <w:rsid w:val="00D7032B"/>
    <w:rsid w:val="00D70588"/>
    <w:rsid w:val="00D718DF"/>
    <w:rsid w:val="00D72F48"/>
    <w:rsid w:val="00D73152"/>
    <w:rsid w:val="00D73C1B"/>
    <w:rsid w:val="00D80CD8"/>
    <w:rsid w:val="00D84999"/>
    <w:rsid w:val="00D85626"/>
    <w:rsid w:val="00D861E3"/>
    <w:rsid w:val="00D87C71"/>
    <w:rsid w:val="00D90AED"/>
    <w:rsid w:val="00D90DCD"/>
    <w:rsid w:val="00D91E2C"/>
    <w:rsid w:val="00D9499B"/>
    <w:rsid w:val="00D960C0"/>
    <w:rsid w:val="00D96CAF"/>
    <w:rsid w:val="00DA1E50"/>
    <w:rsid w:val="00DA220D"/>
    <w:rsid w:val="00DA2D73"/>
    <w:rsid w:val="00DA2F53"/>
    <w:rsid w:val="00DA3098"/>
    <w:rsid w:val="00DA4823"/>
    <w:rsid w:val="00DA4ABA"/>
    <w:rsid w:val="00DA4B25"/>
    <w:rsid w:val="00DA5B72"/>
    <w:rsid w:val="00DB174B"/>
    <w:rsid w:val="00DB2F85"/>
    <w:rsid w:val="00DB365E"/>
    <w:rsid w:val="00DB3DCC"/>
    <w:rsid w:val="00DB5B6E"/>
    <w:rsid w:val="00DB5E3E"/>
    <w:rsid w:val="00DB637F"/>
    <w:rsid w:val="00DC1195"/>
    <w:rsid w:val="00DC1C01"/>
    <w:rsid w:val="00DC1CB8"/>
    <w:rsid w:val="00DC3467"/>
    <w:rsid w:val="00DC3EAD"/>
    <w:rsid w:val="00DD10D1"/>
    <w:rsid w:val="00DD113E"/>
    <w:rsid w:val="00DD160C"/>
    <w:rsid w:val="00DD2452"/>
    <w:rsid w:val="00DD26DF"/>
    <w:rsid w:val="00DD3B65"/>
    <w:rsid w:val="00DD3C28"/>
    <w:rsid w:val="00DD3D50"/>
    <w:rsid w:val="00DD6FD4"/>
    <w:rsid w:val="00DD7C85"/>
    <w:rsid w:val="00DE0742"/>
    <w:rsid w:val="00DE274C"/>
    <w:rsid w:val="00DE5807"/>
    <w:rsid w:val="00DE6222"/>
    <w:rsid w:val="00DE6573"/>
    <w:rsid w:val="00DE796D"/>
    <w:rsid w:val="00DE7CFC"/>
    <w:rsid w:val="00DF0E17"/>
    <w:rsid w:val="00DF1429"/>
    <w:rsid w:val="00DF17FB"/>
    <w:rsid w:val="00DF27D2"/>
    <w:rsid w:val="00DF4C63"/>
    <w:rsid w:val="00DF67FF"/>
    <w:rsid w:val="00DF6C4F"/>
    <w:rsid w:val="00DF6C7D"/>
    <w:rsid w:val="00DF7A5B"/>
    <w:rsid w:val="00DF7C69"/>
    <w:rsid w:val="00DF7CF7"/>
    <w:rsid w:val="00E03DB0"/>
    <w:rsid w:val="00E05710"/>
    <w:rsid w:val="00E07628"/>
    <w:rsid w:val="00E107CD"/>
    <w:rsid w:val="00E10973"/>
    <w:rsid w:val="00E10CD6"/>
    <w:rsid w:val="00E15B0C"/>
    <w:rsid w:val="00E16403"/>
    <w:rsid w:val="00E2309D"/>
    <w:rsid w:val="00E233C9"/>
    <w:rsid w:val="00E23556"/>
    <w:rsid w:val="00E23EB4"/>
    <w:rsid w:val="00E244DF"/>
    <w:rsid w:val="00E2734E"/>
    <w:rsid w:val="00E27690"/>
    <w:rsid w:val="00E3031F"/>
    <w:rsid w:val="00E31252"/>
    <w:rsid w:val="00E32D7C"/>
    <w:rsid w:val="00E32D8D"/>
    <w:rsid w:val="00E35C11"/>
    <w:rsid w:val="00E35F1E"/>
    <w:rsid w:val="00E35F8C"/>
    <w:rsid w:val="00E35FAE"/>
    <w:rsid w:val="00E36BB2"/>
    <w:rsid w:val="00E4207C"/>
    <w:rsid w:val="00E42712"/>
    <w:rsid w:val="00E42BE5"/>
    <w:rsid w:val="00E432A6"/>
    <w:rsid w:val="00E4351F"/>
    <w:rsid w:val="00E44507"/>
    <w:rsid w:val="00E446B2"/>
    <w:rsid w:val="00E52F46"/>
    <w:rsid w:val="00E53E97"/>
    <w:rsid w:val="00E54D7A"/>
    <w:rsid w:val="00E55DAA"/>
    <w:rsid w:val="00E60A4A"/>
    <w:rsid w:val="00E616D3"/>
    <w:rsid w:val="00E6203E"/>
    <w:rsid w:val="00E673BA"/>
    <w:rsid w:val="00E70205"/>
    <w:rsid w:val="00E706CD"/>
    <w:rsid w:val="00E729E3"/>
    <w:rsid w:val="00E72F77"/>
    <w:rsid w:val="00E7548E"/>
    <w:rsid w:val="00E764C4"/>
    <w:rsid w:val="00E817E7"/>
    <w:rsid w:val="00E82CEA"/>
    <w:rsid w:val="00E83F4C"/>
    <w:rsid w:val="00E844C8"/>
    <w:rsid w:val="00E849B3"/>
    <w:rsid w:val="00E85799"/>
    <w:rsid w:val="00E86F1D"/>
    <w:rsid w:val="00E90B8F"/>
    <w:rsid w:val="00E91777"/>
    <w:rsid w:val="00E92BF7"/>
    <w:rsid w:val="00E93157"/>
    <w:rsid w:val="00E94837"/>
    <w:rsid w:val="00E9508B"/>
    <w:rsid w:val="00E97029"/>
    <w:rsid w:val="00EA0B92"/>
    <w:rsid w:val="00EA1828"/>
    <w:rsid w:val="00EA3646"/>
    <w:rsid w:val="00EA38F4"/>
    <w:rsid w:val="00EA6749"/>
    <w:rsid w:val="00EA6AC1"/>
    <w:rsid w:val="00EB57D1"/>
    <w:rsid w:val="00EC110A"/>
    <w:rsid w:val="00EC1174"/>
    <w:rsid w:val="00EC11EC"/>
    <w:rsid w:val="00EC1F24"/>
    <w:rsid w:val="00EC3C8C"/>
    <w:rsid w:val="00EC4376"/>
    <w:rsid w:val="00EC54AD"/>
    <w:rsid w:val="00EC70DB"/>
    <w:rsid w:val="00ED158F"/>
    <w:rsid w:val="00ED2305"/>
    <w:rsid w:val="00ED2842"/>
    <w:rsid w:val="00ED3048"/>
    <w:rsid w:val="00ED43F9"/>
    <w:rsid w:val="00ED5BDC"/>
    <w:rsid w:val="00EE171C"/>
    <w:rsid w:val="00EE2391"/>
    <w:rsid w:val="00EE2B98"/>
    <w:rsid w:val="00EE4E93"/>
    <w:rsid w:val="00EE5E81"/>
    <w:rsid w:val="00EE6665"/>
    <w:rsid w:val="00EE6C57"/>
    <w:rsid w:val="00EF45C3"/>
    <w:rsid w:val="00EF4DB1"/>
    <w:rsid w:val="00EF6B77"/>
    <w:rsid w:val="00EF75B1"/>
    <w:rsid w:val="00F006C8"/>
    <w:rsid w:val="00F00F08"/>
    <w:rsid w:val="00F019B2"/>
    <w:rsid w:val="00F0306D"/>
    <w:rsid w:val="00F041A0"/>
    <w:rsid w:val="00F0507F"/>
    <w:rsid w:val="00F058B0"/>
    <w:rsid w:val="00F05CFA"/>
    <w:rsid w:val="00F06CDB"/>
    <w:rsid w:val="00F07717"/>
    <w:rsid w:val="00F07BC5"/>
    <w:rsid w:val="00F1183D"/>
    <w:rsid w:val="00F15C8C"/>
    <w:rsid w:val="00F163AB"/>
    <w:rsid w:val="00F164C8"/>
    <w:rsid w:val="00F166C0"/>
    <w:rsid w:val="00F20A65"/>
    <w:rsid w:val="00F25B18"/>
    <w:rsid w:val="00F2667A"/>
    <w:rsid w:val="00F26778"/>
    <w:rsid w:val="00F26F89"/>
    <w:rsid w:val="00F274D9"/>
    <w:rsid w:val="00F27613"/>
    <w:rsid w:val="00F27725"/>
    <w:rsid w:val="00F30F77"/>
    <w:rsid w:val="00F312BB"/>
    <w:rsid w:val="00F31ED9"/>
    <w:rsid w:val="00F32DDC"/>
    <w:rsid w:val="00F33452"/>
    <w:rsid w:val="00F337C8"/>
    <w:rsid w:val="00F36711"/>
    <w:rsid w:val="00F41CB6"/>
    <w:rsid w:val="00F431E9"/>
    <w:rsid w:val="00F50B2F"/>
    <w:rsid w:val="00F5185B"/>
    <w:rsid w:val="00F51CF7"/>
    <w:rsid w:val="00F52C71"/>
    <w:rsid w:val="00F544C9"/>
    <w:rsid w:val="00F5524A"/>
    <w:rsid w:val="00F55A0A"/>
    <w:rsid w:val="00F562BE"/>
    <w:rsid w:val="00F5678F"/>
    <w:rsid w:val="00F57C09"/>
    <w:rsid w:val="00F6070D"/>
    <w:rsid w:val="00F62BA5"/>
    <w:rsid w:val="00F6323B"/>
    <w:rsid w:val="00F644CC"/>
    <w:rsid w:val="00F65E01"/>
    <w:rsid w:val="00F6631E"/>
    <w:rsid w:val="00F66666"/>
    <w:rsid w:val="00F66BF7"/>
    <w:rsid w:val="00F677CE"/>
    <w:rsid w:val="00F70919"/>
    <w:rsid w:val="00F72187"/>
    <w:rsid w:val="00F81726"/>
    <w:rsid w:val="00F8247F"/>
    <w:rsid w:val="00F834C3"/>
    <w:rsid w:val="00F83ABD"/>
    <w:rsid w:val="00F863DF"/>
    <w:rsid w:val="00F86F27"/>
    <w:rsid w:val="00F86FED"/>
    <w:rsid w:val="00F874E3"/>
    <w:rsid w:val="00F90AAD"/>
    <w:rsid w:val="00F91061"/>
    <w:rsid w:val="00F96BDB"/>
    <w:rsid w:val="00F96D55"/>
    <w:rsid w:val="00F974C6"/>
    <w:rsid w:val="00F97582"/>
    <w:rsid w:val="00F97BA1"/>
    <w:rsid w:val="00F97BCE"/>
    <w:rsid w:val="00FA1FFE"/>
    <w:rsid w:val="00FA3710"/>
    <w:rsid w:val="00FA444F"/>
    <w:rsid w:val="00FA522E"/>
    <w:rsid w:val="00FA5ABF"/>
    <w:rsid w:val="00FA7DB1"/>
    <w:rsid w:val="00FB05B9"/>
    <w:rsid w:val="00FB17B2"/>
    <w:rsid w:val="00FB1A85"/>
    <w:rsid w:val="00FB2582"/>
    <w:rsid w:val="00FB4A1B"/>
    <w:rsid w:val="00FB5E62"/>
    <w:rsid w:val="00FC3C84"/>
    <w:rsid w:val="00FC4A8F"/>
    <w:rsid w:val="00FC55F5"/>
    <w:rsid w:val="00FC6484"/>
    <w:rsid w:val="00FC7E70"/>
    <w:rsid w:val="00FD0425"/>
    <w:rsid w:val="00FD0CCB"/>
    <w:rsid w:val="00FD222B"/>
    <w:rsid w:val="00FD5A63"/>
    <w:rsid w:val="00FD5D9D"/>
    <w:rsid w:val="00FD638B"/>
    <w:rsid w:val="00FD7197"/>
    <w:rsid w:val="00FE1BBB"/>
    <w:rsid w:val="00FE3C5E"/>
    <w:rsid w:val="00FE4446"/>
    <w:rsid w:val="00FE6CDF"/>
    <w:rsid w:val="00FF2B58"/>
    <w:rsid w:val="00FF51BC"/>
    <w:rsid w:val="00FF6A8F"/>
    <w:rsid w:val="00FF6D38"/>
    <w:rsid w:val="00FF6DD6"/>
    <w:rsid w:val="00FF7A31"/>
    <w:rsid w:val="03A05C4D"/>
    <w:rsid w:val="08813D71"/>
    <w:rsid w:val="0CB1549C"/>
    <w:rsid w:val="0DC85BB9"/>
    <w:rsid w:val="100E1FDF"/>
    <w:rsid w:val="10DC3E87"/>
    <w:rsid w:val="14122A71"/>
    <w:rsid w:val="16F01BE0"/>
    <w:rsid w:val="21241B43"/>
    <w:rsid w:val="27633AD7"/>
    <w:rsid w:val="2B5222FB"/>
    <w:rsid w:val="2BEA38FF"/>
    <w:rsid w:val="2EFF560B"/>
    <w:rsid w:val="30671F51"/>
    <w:rsid w:val="31325D14"/>
    <w:rsid w:val="37E90867"/>
    <w:rsid w:val="3BC4190F"/>
    <w:rsid w:val="3F926272"/>
    <w:rsid w:val="4996053F"/>
    <w:rsid w:val="4B2D31D2"/>
    <w:rsid w:val="4FD875F3"/>
    <w:rsid w:val="4FEA2D0C"/>
    <w:rsid w:val="52F758A1"/>
    <w:rsid w:val="55E757EC"/>
    <w:rsid w:val="560B66D8"/>
    <w:rsid w:val="57FA29A9"/>
    <w:rsid w:val="682E6C9D"/>
    <w:rsid w:val="68F60090"/>
    <w:rsid w:val="68F95A9E"/>
    <w:rsid w:val="694669F8"/>
    <w:rsid w:val="6A7D441C"/>
    <w:rsid w:val="6D5E2E13"/>
    <w:rsid w:val="708E3F1D"/>
    <w:rsid w:val="72737DE5"/>
    <w:rsid w:val="744C77F0"/>
    <w:rsid w:val="749E5165"/>
    <w:rsid w:val="7594030B"/>
    <w:rsid w:val="7BD72BD5"/>
    <w:rsid w:val="7D1B4290"/>
    <w:rsid w:val="7D576B55"/>
    <w:rsid w:val="7F135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699F29"/>
  <w15:docId w15:val="{9BB622AD-6412-4A59-93AA-19CC51F26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uiPriority="0" w:qFormat="1"/>
    <w:lsdException w:name="envelope return" w:uiPriority="0" w:qFormat="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uiPriority="0" w:qFormat="1"/>
    <w:lsdException w:name="table of authorities" w:semiHidden="1" w:uiPriority="0" w:qFormat="1"/>
    <w:lsdException w:name="macro" w:semiHidden="1" w:unhideWhenUsed="1"/>
    <w:lsdException w:name="toa heading" w:semiHidden="1" w:uiPriority="0" w:qFormat="1"/>
    <w:lsdException w:name="List" w:uiPriority="0" w:qFormat="1"/>
    <w:lsdException w:name="List Bullet" w:uiPriority="0" w:qFormat="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22" w:qFormat="1"/>
    <w:lsdException w:name="Emphasis" w:uiPriority="0" w:qFormat="1"/>
    <w:lsdException w:name="Document Map" w:uiPriority="0" w:qFormat="1"/>
    <w:lsdException w:name="Plain Text" w:uiPriority="0" w:qFormat="1"/>
    <w:lsdException w:name="E-mail Signature" w:uiPriority="0" w:qFormat="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6" w:lineRule="auto"/>
      <w:outlineLvl w:val="0"/>
    </w:pPr>
    <w:rPr>
      <w:b/>
      <w:bCs/>
      <w:kern w:val="44"/>
      <w:sz w:val="44"/>
      <w:szCs w:val="44"/>
    </w:rPr>
  </w:style>
  <w:style w:type="paragraph" w:styleId="21">
    <w:name w:val="heading 2"/>
    <w:basedOn w:val="a1"/>
    <w:next w:val="a1"/>
    <w:link w:val="22"/>
    <w:qFormat/>
    <w:pPr>
      <w:keepNext/>
      <w:keepLines/>
      <w:numPr>
        <w:ilvl w:val="1"/>
        <w:numId w:val="1"/>
      </w:numPr>
      <w:tabs>
        <w:tab w:val="left" w:pos="432"/>
      </w:tabs>
      <w:spacing w:before="260" w:after="260" w:line="415" w:lineRule="auto"/>
      <w:outlineLvl w:val="1"/>
    </w:pPr>
    <w:rPr>
      <w:rFonts w:ascii="Arial" w:eastAsia="黑体" w:hAnsi="Arial"/>
      <w:b/>
      <w:bCs/>
      <w:sz w:val="32"/>
      <w:szCs w:val="32"/>
    </w:rPr>
  </w:style>
  <w:style w:type="paragraph" w:styleId="3">
    <w:name w:val="heading 3"/>
    <w:basedOn w:val="a1"/>
    <w:next w:val="a1"/>
    <w:link w:val="30"/>
    <w:qFormat/>
    <w:pPr>
      <w:keepNext/>
      <w:keepLines/>
      <w:numPr>
        <w:ilvl w:val="2"/>
        <w:numId w:val="1"/>
      </w:numPr>
      <w:spacing w:before="260" w:after="260" w:line="415" w:lineRule="auto"/>
      <w:outlineLvl w:val="2"/>
    </w:pPr>
    <w:rPr>
      <w:b/>
      <w:bCs/>
      <w:sz w:val="32"/>
      <w:szCs w:val="32"/>
    </w:rPr>
  </w:style>
  <w:style w:type="paragraph" w:styleId="4">
    <w:name w:val="heading 4"/>
    <w:basedOn w:val="a1"/>
    <w:next w:val="a1"/>
    <w:link w:val="40"/>
    <w:qFormat/>
    <w:pPr>
      <w:keepNext/>
      <w:keepLines/>
      <w:numPr>
        <w:ilvl w:val="3"/>
        <w:numId w:val="1"/>
      </w:numPr>
      <w:autoSpaceDE w:val="0"/>
      <w:autoSpaceDN w:val="0"/>
      <w:adjustRightInd w:val="0"/>
      <w:spacing w:before="280" w:after="290" w:line="374" w:lineRule="auto"/>
      <w:outlineLvl w:val="3"/>
    </w:pPr>
    <w:rPr>
      <w:rFonts w:ascii="Arial" w:eastAsia="黑体" w:hAnsi="Arial"/>
      <w:b/>
      <w:kern w:val="0"/>
      <w:sz w:val="28"/>
      <w:szCs w:val="20"/>
    </w:rPr>
  </w:style>
  <w:style w:type="paragraph" w:styleId="5">
    <w:name w:val="heading 5"/>
    <w:basedOn w:val="a1"/>
    <w:next w:val="a1"/>
    <w:link w:val="50"/>
    <w:qFormat/>
    <w:pPr>
      <w:keepNext/>
      <w:keepLines/>
      <w:numPr>
        <w:ilvl w:val="4"/>
        <w:numId w:val="1"/>
      </w:numPr>
      <w:autoSpaceDE w:val="0"/>
      <w:autoSpaceDN w:val="0"/>
      <w:adjustRightInd w:val="0"/>
      <w:spacing w:before="280" w:after="290" w:line="374" w:lineRule="auto"/>
      <w:outlineLvl w:val="4"/>
    </w:pPr>
    <w:rPr>
      <w:rFonts w:ascii="宋体" w:hint="eastAsia"/>
      <w:b/>
      <w:kern w:val="0"/>
      <w:sz w:val="28"/>
      <w:szCs w:val="20"/>
    </w:rPr>
  </w:style>
  <w:style w:type="paragraph" w:styleId="6">
    <w:name w:val="heading 6"/>
    <w:basedOn w:val="a1"/>
    <w:next w:val="a1"/>
    <w:link w:val="60"/>
    <w:qFormat/>
    <w:pPr>
      <w:keepNext/>
      <w:keepLines/>
      <w:numPr>
        <w:ilvl w:val="5"/>
        <w:numId w:val="1"/>
      </w:numPr>
      <w:autoSpaceDE w:val="0"/>
      <w:autoSpaceDN w:val="0"/>
      <w:adjustRightInd w:val="0"/>
      <w:spacing w:before="240" w:after="64" w:line="319" w:lineRule="auto"/>
      <w:outlineLvl w:val="5"/>
    </w:pPr>
    <w:rPr>
      <w:rFonts w:ascii="Arial" w:eastAsia="黑体" w:hAnsi="Arial"/>
      <w:b/>
      <w:kern w:val="0"/>
      <w:sz w:val="24"/>
      <w:szCs w:val="20"/>
    </w:rPr>
  </w:style>
  <w:style w:type="paragraph" w:styleId="7">
    <w:name w:val="heading 7"/>
    <w:basedOn w:val="a1"/>
    <w:next w:val="a1"/>
    <w:link w:val="70"/>
    <w:qFormat/>
    <w:pPr>
      <w:keepNext/>
      <w:keepLines/>
      <w:numPr>
        <w:ilvl w:val="6"/>
        <w:numId w:val="1"/>
      </w:numPr>
      <w:autoSpaceDE w:val="0"/>
      <w:autoSpaceDN w:val="0"/>
      <w:adjustRightInd w:val="0"/>
      <w:spacing w:before="240" w:after="64" w:line="319" w:lineRule="auto"/>
      <w:outlineLvl w:val="6"/>
    </w:pPr>
    <w:rPr>
      <w:rFonts w:ascii="宋体" w:hint="eastAsia"/>
      <w:b/>
      <w:kern w:val="0"/>
      <w:sz w:val="24"/>
      <w:szCs w:val="20"/>
    </w:rPr>
  </w:style>
  <w:style w:type="paragraph" w:styleId="8">
    <w:name w:val="heading 8"/>
    <w:basedOn w:val="a1"/>
    <w:next w:val="a1"/>
    <w:link w:val="80"/>
    <w:qFormat/>
    <w:pPr>
      <w:keepNext/>
      <w:keepLines/>
      <w:numPr>
        <w:ilvl w:val="7"/>
        <w:numId w:val="1"/>
      </w:numPr>
      <w:autoSpaceDE w:val="0"/>
      <w:autoSpaceDN w:val="0"/>
      <w:adjustRightInd w:val="0"/>
      <w:spacing w:before="240" w:after="64" w:line="319" w:lineRule="auto"/>
      <w:outlineLvl w:val="7"/>
    </w:pPr>
    <w:rPr>
      <w:rFonts w:ascii="Arial" w:eastAsia="黑体" w:hAnsi="Arial"/>
      <w:kern w:val="0"/>
      <w:sz w:val="24"/>
      <w:szCs w:val="20"/>
    </w:rPr>
  </w:style>
  <w:style w:type="paragraph" w:styleId="9">
    <w:name w:val="heading 9"/>
    <w:basedOn w:val="a1"/>
    <w:next w:val="a1"/>
    <w:link w:val="90"/>
    <w:qFormat/>
    <w:pPr>
      <w:keepNext/>
      <w:keepLines/>
      <w:numPr>
        <w:ilvl w:val="8"/>
        <w:numId w:val="1"/>
      </w:numPr>
      <w:autoSpaceDE w:val="0"/>
      <w:autoSpaceDN w:val="0"/>
      <w:adjustRightInd w:val="0"/>
      <w:spacing w:before="240" w:after="64" w:line="319" w:lineRule="auto"/>
      <w:outlineLvl w:val="8"/>
    </w:pPr>
    <w:rPr>
      <w:rFonts w:ascii="Arial" w:eastAsia="黑体" w:hAnsi="Arial"/>
      <w:kern w:val="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1">
    <w:name w:val="toc 7"/>
    <w:basedOn w:val="a1"/>
    <w:next w:val="a1"/>
    <w:uiPriority w:val="39"/>
    <w:qFormat/>
    <w:pPr>
      <w:ind w:left="1260"/>
      <w:jc w:val="left"/>
    </w:pPr>
    <w:rPr>
      <w:szCs w:val="21"/>
    </w:rPr>
  </w:style>
  <w:style w:type="paragraph" w:styleId="a5">
    <w:name w:val="table of authorities"/>
    <w:basedOn w:val="AONormal"/>
    <w:next w:val="a1"/>
    <w:semiHidden/>
    <w:qFormat/>
    <w:pPr>
      <w:tabs>
        <w:tab w:val="right" w:leader="dot" w:pos="9490"/>
      </w:tabs>
      <w:spacing w:before="240" w:line="240" w:lineRule="auto"/>
      <w:ind w:left="720" w:hanging="720"/>
    </w:pPr>
  </w:style>
  <w:style w:type="paragraph" w:customStyle="1" w:styleId="AONormal">
    <w:name w:val="AONormal"/>
    <w:qFormat/>
    <w:pPr>
      <w:spacing w:line="260" w:lineRule="atLeast"/>
    </w:pPr>
    <w:rPr>
      <w:sz w:val="22"/>
      <w:szCs w:val="22"/>
      <w:lang w:val="en-GB" w:eastAsia="en-US"/>
    </w:rPr>
  </w:style>
  <w:style w:type="paragraph" w:styleId="a6">
    <w:name w:val="E-mail Signature"/>
    <w:basedOn w:val="a1"/>
    <w:link w:val="a7"/>
    <w:qFormat/>
    <w:pPr>
      <w:widowControl/>
    </w:pPr>
    <w:rPr>
      <w:kern w:val="0"/>
      <w:szCs w:val="21"/>
    </w:rPr>
  </w:style>
  <w:style w:type="paragraph" w:styleId="a">
    <w:name w:val="List Number"/>
    <w:basedOn w:val="a8"/>
    <w:qFormat/>
    <w:pPr>
      <w:numPr>
        <w:numId w:val="2"/>
      </w:numPr>
      <w:ind w:right="720"/>
    </w:pPr>
  </w:style>
  <w:style w:type="paragraph" w:styleId="a8">
    <w:name w:val="List"/>
    <w:basedOn w:val="a9"/>
    <w:qFormat/>
    <w:pPr>
      <w:widowControl/>
      <w:spacing w:after="240" w:line="240" w:lineRule="atLeast"/>
      <w:ind w:left="720" w:hanging="360"/>
      <w:jc w:val="left"/>
    </w:pPr>
    <w:rPr>
      <w:rFonts w:eastAsia="PMingLiU"/>
      <w:kern w:val="0"/>
      <w:szCs w:val="20"/>
      <w:lang w:eastAsia="en-US"/>
    </w:rPr>
  </w:style>
  <w:style w:type="paragraph" w:styleId="a9">
    <w:name w:val="Body Text"/>
    <w:basedOn w:val="a1"/>
    <w:link w:val="aa"/>
    <w:qFormat/>
    <w:pPr>
      <w:spacing w:line="360" w:lineRule="auto"/>
    </w:pPr>
    <w:rPr>
      <w:sz w:val="24"/>
    </w:rPr>
  </w:style>
  <w:style w:type="paragraph" w:styleId="ab">
    <w:name w:val="Normal Indent"/>
    <w:basedOn w:val="a1"/>
    <w:qFormat/>
    <w:pPr>
      <w:ind w:firstLine="420"/>
    </w:pPr>
    <w:rPr>
      <w:szCs w:val="20"/>
    </w:rPr>
  </w:style>
  <w:style w:type="paragraph" w:styleId="ac">
    <w:name w:val="caption"/>
    <w:basedOn w:val="a1"/>
    <w:next w:val="a1"/>
    <w:qFormat/>
    <w:pPr>
      <w:adjustRightInd w:val="0"/>
      <w:spacing w:before="152" w:after="160" w:line="360" w:lineRule="auto"/>
      <w:ind w:firstLineChars="200" w:firstLine="567"/>
    </w:pPr>
    <w:rPr>
      <w:rFonts w:ascii="Arial" w:eastAsia="黑体" w:hAnsi="Arial"/>
      <w:sz w:val="24"/>
      <w:szCs w:val="20"/>
    </w:rPr>
  </w:style>
  <w:style w:type="paragraph" w:styleId="a0">
    <w:name w:val="List Bullet"/>
    <w:basedOn w:val="a8"/>
    <w:qFormat/>
    <w:pPr>
      <w:numPr>
        <w:numId w:val="3"/>
      </w:numPr>
      <w:ind w:right="720"/>
    </w:pPr>
  </w:style>
  <w:style w:type="paragraph" w:styleId="ad">
    <w:name w:val="envelope address"/>
    <w:basedOn w:val="a1"/>
    <w:qFormat/>
    <w:pPr>
      <w:framePr w:w="7920" w:h="1980" w:hRule="exact" w:hSpace="180" w:wrap="around" w:hAnchor="page" w:xAlign="center" w:yAlign="bottom"/>
      <w:ind w:left="2880"/>
    </w:pPr>
    <w:rPr>
      <w:rFonts w:cs="Arial"/>
      <w:szCs w:val="22"/>
    </w:rPr>
  </w:style>
  <w:style w:type="paragraph" w:styleId="ae">
    <w:name w:val="Document Map"/>
    <w:basedOn w:val="a1"/>
    <w:link w:val="af"/>
    <w:qFormat/>
    <w:pPr>
      <w:shd w:val="clear" w:color="auto" w:fill="000080"/>
    </w:pPr>
  </w:style>
  <w:style w:type="paragraph" w:styleId="af0">
    <w:name w:val="toa heading"/>
    <w:basedOn w:val="AONormal"/>
    <w:next w:val="a5"/>
    <w:semiHidden/>
    <w:qFormat/>
    <w:pPr>
      <w:tabs>
        <w:tab w:val="right" w:pos="9490"/>
      </w:tabs>
      <w:spacing w:before="240" w:after="120" w:line="240" w:lineRule="auto"/>
    </w:pPr>
    <w:rPr>
      <w:b/>
    </w:rPr>
  </w:style>
  <w:style w:type="paragraph" w:styleId="af1">
    <w:name w:val="annotation text"/>
    <w:basedOn w:val="a1"/>
    <w:link w:val="af2"/>
    <w:qFormat/>
    <w:pPr>
      <w:jc w:val="left"/>
    </w:pPr>
    <w:rPr>
      <w:sz w:val="24"/>
      <w:szCs w:val="20"/>
    </w:rPr>
  </w:style>
  <w:style w:type="paragraph" w:styleId="31">
    <w:name w:val="Body Text 3"/>
    <w:basedOn w:val="a1"/>
    <w:link w:val="32"/>
    <w:qFormat/>
    <w:pPr>
      <w:autoSpaceDE w:val="0"/>
      <w:autoSpaceDN w:val="0"/>
      <w:adjustRightInd w:val="0"/>
      <w:spacing w:after="120" w:line="360" w:lineRule="auto"/>
    </w:pPr>
    <w:rPr>
      <w:kern w:val="0"/>
      <w:sz w:val="24"/>
      <w:szCs w:val="20"/>
      <w:u w:val="single"/>
    </w:rPr>
  </w:style>
  <w:style w:type="paragraph" w:styleId="af3">
    <w:name w:val="Body Text Indent"/>
    <w:basedOn w:val="a1"/>
    <w:link w:val="af4"/>
    <w:qFormat/>
    <w:pPr>
      <w:autoSpaceDE w:val="0"/>
      <w:autoSpaceDN w:val="0"/>
      <w:adjustRightInd w:val="0"/>
      <w:spacing w:after="120" w:line="440" w:lineRule="atLeast"/>
      <w:ind w:firstLine="539"/>
    </w:pPr>
    <w:rPr>
      <w:rFonts w:ascii="宋体" w:hint="eastAsia"/>
      <w:kern w:val="0"/>
      <w:sz w:val="24"/>
      <w:szCs w:val="20"/>
    </w:rPr>
  </w:style>
  <w:style w:type="paragraph" w:styleId="51">
    <w:name w:val="toc 5"/>
    <w:basedOn w:val="a1"/>
    <w:next w:val="a1"/>
    <w:uiPriority w:val="39"/>
    <w:qFormat/>
    <w:pPr>
      <w:ind w:left="840"/>
      <w:jc w:val="left"/>
    </w:pPr>
    <w:rPr>
      <w:szCs w:val="21"/>
    </w:rPr>
  </w:style>
  <w:style w:type="paragraph" w:styleId="33">
    <w:name w:val="toc 3"/>
    <w:basedOn w:val="a1"/>
    <w:next w:val="a1"/>
    <w:uiPriority w:val="39"/>
    <w:qFormat/>
    <w:pPr>
      <w:ind w:left="420"/>
      <w:jc w:val="left"/>
    </w:pPr>
    <w:rPr>
      <w:szCs w:val="21"/>
    </w:rPr>
  </w:style>
  <w:style w:type="paragraph" w:styleId="af5">
    <w:name w:val="Plain Text"/>
    <w:basedOn w:val="a1"/>
    <w:link w:val="af6"/>
    <w:qFormat/>
    <w:rPr>
      <w:rFonts w:ascii="宋体" w:hAnsi="Courier New" w:hint="eastAsia"/>
      <w:szCs w:val="20"/>
    </w:rPr>
  </w:style>
  <w:style w:type="paragraph" w:styleId="81">
    <w:name w:val="toc 8"/>
    <w:basedOn w:val="a1"/>
    <w:next w:val="a1"/>
    <w:uiPriority w:val="39"/>
    <w:qFormat/>
    <w:pPr>
      <w:ind w:left="1470"/>
      <w:jc w:val="left"/>
    </w:pPr>
    <w:rPr>
      <w:szCs w:val="21"/>
    </w:rPr>
  </w:style>
  <w:style w:type="paragraph" w:styleId="af7">
    <w:name w:val="Date"/>
    <w:basedOn w:val="a1"/>
    <w:next w:val="a1"/>
    <w:link w:val="af8"/>
    <w:qFormat/>
    <w:pPr>
      <w:ind w:leftChars="2500" w:left="2500"/>
    </w:pPr>
    <w:rPr>
      <w:rFonts w:ascii="宋体" w:eastAsia="仿宋_GB2312" w:hAnsi="宋体" w:hint="eastAsia"/>
      <w:sz w:val="28"/>
    </w:rPr>
  </w:style>
  <w:style w:type="paragraph" w:styleId="23">
    <w:name w:val="Body Text Indent 2"/>
    <w:basedOn w:val="a1"/>
    <w:link w:val="24"/>
    <w:qFormat/>
    <w:pPr>
      <w:spacing w:line="360" w:lineRule="auto"/>
      <w:ind w:firstLineChars="200" w:firstLine="560"/>
    </w:pPr>
    <w:rPr>
      <w:rFonts w:eastAsia="仿宋_GB2312"/>
      <w:sz w:val="28"/>
    </w:rPr>
  </w:style>
  <w:style w:type="paragraph" w:styleId="af9">
    <w:name w:val="endnote text"/>
    <w:basedOn w:val="AONormal"/>
    <w:link w:val="afa"/>
    <w:qFormat/>
    <w:pPr>
      <w:spacing w:line="240" w:lineRule="auto"/>
      <w:ind w:left="720" w:hanging="720"/>
    </w:pPr>
    <w:rPr>
      <w:sz w:val="16"/>
    </w:rPr>
  </w:style>
  <w:style w:type="paragraph" w:styleId="afb">
    <w:name w:val="Balloon Text"/>
    <w:basedOn w:val="a1"/>
    <w:link w:val="afc"/>
    <w:qFormat/>
    <w:rPr>
      <w:sz w:val="18"/>
      <w:szCs w:val="18"/>
    </w:rPr>
  </w:style>
  <w:style w:type="paragraph" w:styleId="afd">
    <w:name w:val="footer"/>
    <w:basedOn w:val="a1"/>
    <w:link w:val="afe"/>
    <w:uiPriority w:val="99"/>
    <w:qFormat/>
    <w:pPr>
      <w:tabs>
        <w:tab w:val="center" w:pos="4153"/>
        <w:tab w:val="right" w:pos="8306"/>
      </w:tabs>
      <w:snapToGrid w:val="0"/>
      <w:jc w:val="left"/>
    </w:pPr>
    <w:rPr>
      <w:sz w:val="18"/>
      <w:szCs w:val="18"/>
    </w:rPr>
  </w:style>
  <w:style w:type="paragraph" w:styleId="aff">
    <w:name w:val="envelope return"/>
    <w:basedOn w:val="a1"/>
    <w:qFormat/>
    <w:rPr>
      <w:rFonts w:cs="Arial"/>
      <w:sz w:val="20"/>
    </w:rPr>
  </w:style>
  <w:style w:type="paragraph" w:styleId="aff0">
    <w:name w:val="header"/>
    <w:basedOn w:val="a1"/>
    <w:link w:val="aff1"/>
    <w:qFormat/>
    <w:pPr>
      <w:pBdr>
        <w:bottom w:val="single" w:sz="6" w:space="1" w:color="auto"/>
      </w:pBdr>
      <w:tabs>
        <w:tab w:val="center" w:pos="4153"/>
        <w:tab w:val="right" w:pos="8306"/>
      </w:tabs>
      <w:snapToGrid w:val="0"/>
      <w:jc w:val="center"/>
    </w:pPr>
    <w:rPr>
      <w:sz w:val="18"/>
      <w:szCs w:val="18"/>
    </w:rPr>
  </w:style>
  <w:style w:type="paragraph" w:styleId="11">
    <w:name w:val="toc 1"/>
    <w:basedOn w:val="a1"/>
    <w:next w:val="a1"/>
    <w:uiPriority w:val="39"/>
    <w:qFormat/>
    <w:pPr>
      <w:tabs>
        <w:tab w:val="left" w:pos="720"/>
        <w:tab w:val="left" w:pos="1080"/>
        <w:tab w:val="right" w:leader="dot" w:pos="8296"/>
      </w:tabs>
      <w:spacing w:line="360" w:lineRule="auto"/>
      <w:jc w:val="left"/>
    </w:pPr>
    <w:rPr>
      <w:rFonts w:ascii="宋体" w:hAnsi="宋体"/>
      <w:b/>
      <w:bCs/>
      <w:color w:val="000000"/>
    </w:rPr>
  </w:style>
  <w:style w:type="paragraph" w:styleId="41">
    <w:name w:val="toc 4"/>
    <w:basedOn w:val="a1"/>
    <w:next w:val="a1"/>
    <w:uiPriority w:val="39"/>
    <w:qFormat/>
    <w:pPr>
      <w:ind w:left="630"/>
      <w:jc w:val="left"/>
    </w:pPr>
    <w:rPr>
      <w:szCs w:val="21"/>
    </w:rPr>
  </w:style>
  <w:style w:type="paragraph" w:styleId="aff2">
    <w:name w:val="Subtitle"/>
    <w:basedOn w:val="21"/>
    <w:next w:val="3"/>
    <w:link w:val="aff3"/>
    <w:qFormat/>
    <w:pPr>
      <w:spacing w:before="240" w:after="60" w:line="312" w:lineRule="auto"/>
      <w:jc w:val="center"/>
    </w:pPr>
    <w:rPr>
      <w:rFonts w:ascii="Cambria" w:hAnsi="Cambria"/>
      <w:kern w:val="28"/>
    </w:rPr>
  </w:style>
  <w:style w:type="paragraph" w:styleId="aff4">
    <w:name w:val="footnote text"/>
    <w:basedOn w:val="a1"/>
    <w:link w:val="aff5"/>
    <w:qFormat/>
    <w:pPr>
      <w:snapToGrid w:val="0"/>
      <w:jc w:val="left"/>
    </w:pPr>
    <w:rPr>
      <w:sz w:val="18"/>
      <w:szCs w:val="18"/>
    </w:rPr>
  </w:style>
  <w:style w:type="paragraph" w:styleId="61">
    <w:name w:val="toc 6"/>
    <w:basedOn w:val="a1"/>
    <w:next w:val="a1"/>
    <w:uiPriority w:val="39"/>
    <w:qFormat/>
    <w:pPr>
      <w:ind w:left="1050"/>
      <w:jc w:val="left"/>
    </w:pPr>
    <w:rPr>
      <w:szCs w:val="21"/>
    </w:rPr>
  </w:style>
  <w:style w:type="paragraph" w:styleId="34">
    <w:name w:val="Body Text Indent 3"/>
    <w:basedOn w:val="a1"/>
    <w:link w:val="35"/>
    <w:qFormat/>
    <w:pPr>
      <w:spacing w:line="400" w:lineRule="atLeast"/>
      <w:ind w:firstLine="600"/>
    </w:pPr>
    <w:rPr>
      <w:rFonts w:ascii="宋体" w:hint="eastAsia"/>
      <w:sz w:val="28"/>
      <w:szCs w:val="20"/>
    </w:rPr>
  </w:style>
  <w:style w:type="paragraph" w:styleId="25">
    <w:name w:val="toc 2"/>
    <w:basedOn w:val="a1"/>
    <w:next w:val="a1"/>
    <w:uiPriority w:val="39"/>
    <w:qFormat/>
    <w:pPr>
      <w:tabs>
        <w:tab w:val="left" w:pos="840"/>
        <w:tab w:val="left" w:pos="1050"/>
        <w:tab w:val="left" w:pos="1080"/>
        <w:tab w:val="right" w:leader="dot" w:pos="8296"/>
      </w:tabs>
      <w:spacing w:line="360" w:lineRule="auto"/>
      <w:ind w:left="210"/>
      <w:jc w:val="left"/>
    </w:pPr>
  </w:style>
  <w:style w:type="paragraph" w:styleId="91">
    <w:name w:val="toc 9"/>
    <w:basedOn w:val="a1"/>
    <w:next w:val="a1"/>
    <w:uiPriority w:val="39"/>
    <w:qFormat/>
    <w:pPr>
      <w:ind w:left="1680"/>
      <w:jc w:val="left"/>
    </w:pPr>
    <w:rPr>
      <w:szCs w:val="21"/>
    </w:rPr>
  </w:style>
  <w:style w:type="paragraph" w:styleId="26">
    <w:name w:val="Body Text 2"/>
    <w:basedOn w:val="a1"/>
    <w:link w:val="27"/>
    <w:qFormat/>
    <w:rPr>
      <w:sz w:val="28"/>
      <w:szCs w:val="20"/>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aff6">
    <w:name w:val="Normal (Web)"/>
    <w:basedOn w:val="a1"/>
    <w:uiPriority w:val="99"/>
    <w:qFormat/>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12">
    <w:name w:val="index 1"/>
    <w:basedOn w:val="a1"/>
    <w:next w:val="a1"/>
    <w:qFormat/>
    <w:pPr>
      <w:spacing w:line="360" w:lineRule="auto"/>
      <w:ind w:firstLineChars="200" w:firstLine="422"/>
      <w:outlineLvl w:val="0"/>
    </w:pPr>
    <w:rPr>
      <w:rFonts w:ascii="宋体" w:hAnsi="宋体"/>
      <w:b/>
      <w:bCs/>
      <w:color w:val="000000"/>
      <w:kern w:val="0"/>
    </w:rPr>
  </w:style>
  <w:style w:type="paragraph" w:styleId="aff7">
    <w:name w:val="Title"/>
    <w:basedOn w:val="a1"/>
    <w:link w:val="aff8"/>
    <w:qFormat/>
    <w:pPr>
      <w:spacing w:before="240" w:after="60" w:line="360" w:lineRule="auto"/>
      <w:ind w:firstLine="425"/>
      <w:jc w:val="center"/>
      <w:outlineLvl w:val="0"/>
    </w:pPr>
    <w:rPr>
      <w:rFonts w:ascii="Arial" w:hAnsi="Arial"/>
      <w:b/>
      <w:sz w:val="32"/>
      <w:szCs w:val="20"/>
    </w:rPr>
  </w:style>
  <w:style w:type="paragraph" w:styleId="aff9">
    <w:name w:val="annotation subject"/>
    <w:basedOn w:val="af1"/>
    <w:next w:val="af1"/>
    <w:link w:val="affa"/>
    <w:qFormat/>
    <w:rPr>
      <w:b/>
      <w:bCs/>
      <w:sz w:val="21"/>
      <w:szCs w:val="24"/>
    </w:rPr>
  </w:style>
  <w:style w:type="paragraph" w:styleId="affb">
    <w:name w:val="Body Text First Indent"/>
    <w:basedOn w:val="a9"/>
    <w:link w:val="affc"/>
    <w:qFormat/>
    <w:pPr>
      <w:spacing w:after="120" w:line="240" w:lineRule="auto"/>
      <w:ind w:firstLineChars="100" w:firstLine="420"/>
    </w:pPr>
  </w:style>
  <w:style w:type="table" w:styleId="affd">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uiPriority w:val="22"/>
    <w:qFormat/>
    <w:rPr>
      <w:b/>
      <w:bCs/>
    </w:rPr>
  </w:style>
  <w:style w:type="character" w:styleId="afff">
    <w:name w:val="page number"/>
    <w:basedOn w:val="a2"/>
    <w:qFormat/>
  </w:style>
  <w:style w:type="character" w:styleId="afff0">
    <w:name w:val="FollowedHyperlink"/>
    <w:qFormat/>
    <w:rPr>
      <w:color w:val="800080"/>
      <w:u w:val="single"/>
    </w:rPr>
  </w:style>
  <w:style w:type="character" w:styleId="afff1">
    <w:name w:val="Emphasis"/>
    <w:qFormat/>
    <w:rPr>
      <w:i/>
      <w:iCs/>
    </w:rPr>
  </w:style>
  <w:style w:type="character" w:styleId="HTML1">
    <w:name w:val="HTML Typewriter"/>
    <w:qFormat/>
    <w:rPr>
      <w:rFonts w:ascii="Arial Unicode MS" w:eastAsia="Arial Unicode MS" w:hAnsi="Arial Unicode MS" w:cs="Arial Unicode MS"/>
      <w:sz w:val="20"/>
      <w:szCs w:val="20"/>
    </w:rPr>
  </w:style>
  <w:style w:type="character" w:styleId="afff2">
    <w:name w:val="Hyperlink"/>
    <w:uiPriority w:val="99"/>
    <w:qFormat/>
    <w:rPr>
      <w:color w:val="0000FF"/>
      <w:u w:val="single"/>
    </w:rPr>
  </w:style>
  <w:style w:type="character" w:styleId="afff3">
    <w:name w:val="annotation reference"/>
    <w:qFormat/>
    <w:rPr>
      <w:sz w:val="21"/>
      <w:szCs w:val="21"/>
    </w:rPr>
  </w:style>
  <w:style w:type="character" w:styleId="afff4">
    <w:name w:val="footnote reference"/>
    <w:qFormat/>
    <w:rPr>
      <w:vertAlign w:val="superscript"/>
    </w:rPr>
  </w:style>
  <w:style w:type="character" w:customStyle="1" w:styleId="10">
    <w:name w:val="标题 1 字符"/>
    <w:link w:val="1"/>
    <w:qFormat/>
    <w:rPr>
      <w:rFonts w:ascii="Times New Roman" w:hAnsi="Times New Roman"/>
      <w:b/>
      <w:bCs/>
      <w:kern w:val="44"/>
      <w:sz w:val="44"/>
      <w:szCs w:val="44"/>
    </w:rPr>
  </w:style>
  <w:style w:type="character" w:customStyle="1" w:styleId="22">
    <w:name w:val="标题 2 字符"/>
    <w:link w:val="21"/>
    <w:qFormat/>
    <w:rPr>
      <w:rFonts w:ascii="Arial" w:eastAsia="黑体" w:hAnsi="Arial"/>
      <w:b/>
      <w:bCs/>
      <w:kern w:val="2"/>
      <w:sz w:val="32"/>
      <w:szCs w:val="32"/>
    </w:rPr>
  </w:style>
  <w:style w:type="character" w:customStyle="1" w:styleId="30">
    <w:name w:val="标题 3 字符"/>
    <w:link w:val="3"/>
    <w:qFormat/>
    <w:rPr>
      <w:rFonts w:ascii="Times New Roman" w:hAnsi="Times New Roman"/>
      <w:b/>
      <w:bCs/>
      <w:kern w:val="2"/>
      <w:sz w:val="32"/>
      <w:szCs w:val="32"/>
    </w:rPr>
  </w:style>
  <w:style w:type="character" w:customStyle="1" w:styleId="40">
    <w:name w:val="标题 4 字符"/>
    <w:link w:val="4"/>
    <w:qFormat/>
    <w:rPr>
      <w:rFonts w:ascii="Arial" w:eastAsia="黑体" w:hAnsi="Arial"/>
      <w:b/>
      <w:sz w:val="28"/>
    </w:rPr>
  </w:style>
  <w:style w:type="character" w:customStyle="1" w:styleId="50">
    <w:name w:val="标题 5 字符"/>
    <w:link w:val="5"/>
    <w:qFormat/>
    <w:rPr>
      <w:rFonts w:ascii="宋体" w:hAnsi="Times New Roman"/>
      <w:b/>
      <w:sz w:val="28"/>
    </w:rPr>
  </w:style>
  <w:style w:type="character" w:customStyle="1" w:styleId="60">
    <w:name w:val="标题 6 字符"/>
    <w:link w:val="6"/>
    <w:qFormat/>
    <w:rPr>
      <w:rFonts w:ascii="Arial" w:eastAsia="黑体" w:hAnsi="Arial"/>
      <w:b/>
      <w:sz w:val="24"/>
    </w:rPr>
  </w:style>
  <w:style w:type="character" w:customStyle="1" w:styleId="70">
    <w:name w:val="标题 7 字符"/>
    <w:link w:val="7"/>
    <w:qFormat/>
    <w:rPr>
      <w:rFonts w:ascii="宋体" w:hAnsi="Times New Roman"/>
      <w:b/>
      <w:sz w:val="24"/>
    </w:rPr>
  </w:style>
  <w:style w:type="character" w:customStyle="1" w:styleId="80">
    <w:name w:val="标题 8 字符"/>
    <w:link w:val="8"/>
    <w:qFormat/>
    <w:rPr>
      <w:rFonts w:ascii="Arial" w:eastAsia="黑体" w:hAnsi="Arial"/>
      <w:sz w:val="24"/>
    </w:rPr>
  </w:style>
  <w:style w:type="character" w:customStyle="1" w:styleId="90">
    <w:name w:val="标题 9 字符"/>
    <w:link w:val="9"/>
    <w:qFormat/>
    <w:rPr>
      <w:rFonts w:ascii="Arial" w:eastAsia="黑体" w:hAnsi="Arial"/>
      <w:sz w:val="21"/>
    </w:rPr>
  </w:style>
  <w:style w:type="paragraph" w:customStyle="1" w:styleId="ParaChar">
    <w:name w:val="默认段落字体 Para Char"/>
    <w:basedOn w:val="a1"/>
    <w:qFormat/>
    <w:pPr>
      <w:numPr>
        <w:numId w:val="4"/>
      </w:numPr>
    </w:pPr>
    <w:rPr>
      <w:sz w:val="24"/>
    </w:rPr>
  </w:style>
  <w:style w:type="character" w:customStyle="1" w:styleId="aff5">
    <w:name w:val="脚注文本 字符"/>
    <w:link w:val="aff4"/>
    <w:qFormat/>
    <w:rPr>
      <w:rFonts w:ascii="Times New Roman" w:eastAsia="宋体" w:hAnsi="Times New Roman" w:cs="Times New Roman"/>
      <w:sz w:val="18"/>
      <w:szCs w:val="18"/>
    </w:rPr>
  </w:style>
  <w:style w:type="character" w:customStyle="1" w:styleId="af2">
    <w:name w:val="批注文字 字符"/>
    <w:link w:val="af1"/>
    <w:qFormat/>
    <w:rPr>
      <w:rFonts w:ascii="Times New Roman" w:eastAsia="宋体" w:hAnsi="Times New Roman" w:cs="Times New Roman"/>
      <w:sz w:val="24"/>
      <w:szCs w:val="20"/>
    </w:rPr>
  </w:style>
  <w:style w:type="character" w:customStyle="1" w:styleId="aff1">
    <w:name w:val="页眉 字符"/>
    <w:link w:val="aff0"/>
    <w:qFormat/>
    <w:rPr>
      <w:rFonts w:ascii="Times New Roman" w:eastAsia="宋体" w:hAnsi="Times New Roman" w:cs="Times New Roman"/>
      <w:sz w:val="18"/>
      <w:szCs w:val="18"/>
    </w:rPr>
  </w:style>
  <w:style w:type="character" w:customStyle="1" w:styleId="afe">
    <w:name w:val="页脚 字符"/>
    <w:link w:val="afd"/>
    <w:uiPriority w:val="99"/>
    <w:qFormat/>
    <w:rPr>
      <w:rFonts w:ascii="Times New Roman" w:eastAsia="宋体" w:hAnsi="Times New Roman" w:cs="Times New Roman"/>
      <w:sz w:val="18"/>
      <w:szCs w:val="18"/>
    </w:rPr>
  </w:style>
  <w:style w:type="character" w:customStyle="1" w:styleId="aff8">
    <w:name w:val="标题 字符"/>
    <w:link w:val="aff7"/>
    <w:qFormat/>
    <w:rPr>
      <w:rFonts w:ascii="Arial" w:eastAsia="宋体" w:hAnsi="Arial" w:cs="Times New Roman"/>
      <w:b/>
      <w:sz w:val="32"/>
      <w:szCs w:val="20"/>
    </w:rPr>
  </w:style>
  <w:style w:type="character" w:customStyle="1" w:styleId="aa">
    <w:name w:val="正文文本 字符"/>
    <w:link w:val="a9"/>
    <w:qFormat/>
    <w:rPr>
      <w:rFonts w:ascii="Times New Roman" w:eastAsia="宋体" w:hAnsi="Times New Roman" w:cs="Times New Roman"/>
      <w:sz w:val="24"/>
      <w:szCs w:val="24"/>
    </w:rPr>
  </w:style>
  <w:style w:type="character" w:customStyle="1" w:styleId="af4">
    <w:name w:val="正文文本缩进 字符"/>
    <w:link w:val="af3"/>
    <w:qFormat/>
    <w:rPr>
      <w:rFonts w:ascii="宋体" w:eastAsia="宋体" w:hAnsi="Times New Roman" w:cs="Times New Roman"/>
      <w:kern w:val="0"/>
      <w:sz w:val="24"/>
      <w:szCs w:val="20"/>
    </w:rPr>
  </w:style>
  <w:style w:type="character" w:customStyle="1" w:styleId="af8">
    <w:name w:val="日期 字符"/>
    <w:link w:val="af7"/>
    <w:qFormat/>
    <w:rPr>
      <w:rFonts w:ascii="宋体" w:eastAsia="仿宋_GB2312" w:hAnsi="宋体" w:cs="Times New Roman"/>
      <w:sz w:val="28"/>
      <w:szCs w:val="24"/>
    </w:rPr>
  </w:style>
  <w:style w:type="character" w:customStyle="1" w:styleId="27">
    <w:name w:val="正文文本 2 字符"/>
    <w:link w:val="26"/>
    <w:qFormat/>
    <w:rPr>
      <w:rFonts w:ascii="Times New Roman" w:eastAsia="宋体" w:hAnsi="Times New Roman" w:cs="Times New Roman"/>
      <w:sz w:val="28"/>
      <w:szCs w:val="20"/>
    </w:rPr>
  </w:style>
  <w:style w:type="character" w:customStyle="1" w:styleId="32">
    <w:name w:val="正文文本 3 字符"/>
    <w:link w:val="31"/>
    <w:qFormat/>
    <w:rPr>
      <w:rFonts w:ascii="Times New Roman" w:eastAsia="宋体" w:hAnsi="Times New Roman" w:cs="Times New Roman"/>
      <w:kern w:val="0"/>
      <w:sz w:val="24"/>
      <w:szCs w:val="20"/>
      <w:u w:val="single"/>
    </w:rPr>
  </w:style>
  <w:style w:type="character" w:customStyle="1" w:styleId="24">
    <w:name w:val="正文文本缩进 2 字符"/>
    <w:link w:val="23"/>
    <w:qFormat/>
    <w:rPr>
      <w:rFonts w:ascii="Times New Roman" w:eastAsia="仿宋_GB2312" w:hAnsi="Times New Roman" w:cs="Times New Roman"/>
      <w:sz w:val="28"/>
      <w:szCs w:val="24"/>
    </w:rPr>
  </w:style>
  <w:style w:type="character" w:customStyle="1" w:styleId="35">
    <w:name w:val="正文文本缩进 3 字符"/>
    <w:link w:val="34"/>
    <w:qFormat/>
    <w:rPr>
      <w:rFonts w:ascii="宋体" w:eastAsia="宋体" w:hAnsi="Times New Roman" w:cs="Times New Roman"/>
      <w:sz w:val="28"/>
      <w:szCs w:val="20"/>
    </w:rPr>
  </w:style>
  <w:style w:type="character" w:customStyle="1" w:styleId="af">
    <w:name w:val="文档结构图 字符"/>
    <w:link w:val="ae"/>
    <w:qFormat/>
    <w:rPr>
      <w:rFonts w:ascii="Times New Roman" w:eastAsia="宋体" w:hAnsi="Times New Roman" w:cs="Times New Roman"/>
      <w:szCs w:val="24"/>
      <w:shd w:val="clear" w:color="auto" w:fill="000080"/>
    </w:rPr>
  </w:style>
  <w:style w:type="character" w:customStyle="1" w:styleId="af6">
    <w:name w:val="纯文本 字符"/>
    <w:link w:val="af5"/>
    <w:qFormat/>
    <w:rPr>
      <w:rFonts w:ascii="宋体" w:eastAsia="宋体" w:hAnsi="Courier New" w:cs="Times New Roman"/>
      <w:szCs w:val="20"/>
    </w:rPr>
  </w:style>
  <w:style w:type="paragraph" w:customStyle="1" w:styleId="font523908">
    <w:name w:val="font523908"/>
    <w:basedOn w:val="a1"/>
    <w:qFormat/>
    <w:pPr>
      <w:widowControl/>
      <w:spacing w:before="100" w:after="100"/>
      <w:jc w:val="left"/>
    </w:pPr>
    <w:rPr>
      <w:rFonts w:ascii="宋体" w:hAnsi="宋体" w:hint="eastAsia"/>
      <w:kern w:val="0"/>
      <w:sz w:val="18"/>
    </w:rPr>
  </w:style>
  <w:style w:type="paragraph" w:customStyle="1" w:styleId="font623908">
    <w:name w:val="font623908"/>
    <w:basedOn w:val="a1"/>
    <w:qFormat/>
    <w:pPr>
      <w:widowControl/>
      <w:spacing w:before="100" w:after="100"/>
      <w:jc w:val="left"/>
    </w:pPr>
    <w:rPr>
      <w:rFonts w:ascii="楷体_GB2312" w:eastAsia="楷体_GB2312" w:hAnsi="宋体" w:hint="eastAsia"/>
      <w:color w:val="FF0000"/>
      <w:kern w:val="0"/>
      <w:sz w:val="24"/>
    </w:rPr>
  </w:style>
  <w:style w:type="paragraph" w:customStyle="1" w:styleId="xl2223908">
    <w:name w:val="xl2223908"/>
    <w:basedOn w:val="a1"/>
    <w:qFormat/>
    <w:pPr>
      <w:widowControl/>
      <w:spacing w:before="100" w:after="100"/>
      <w:jc w:val="center"/>
    </w:pPr>
    <w:rPr>
      <w:rFonts w:ascii="宋体" w:hAnsi="宋体" w:hint="eastAsia"/>
      <w:kern w:val="0"/>
      <w:sz w:val="24"/>
    </w:rPr>
  </w:style>
  <w:style w:type="paragraph" w:customStyle="1" w:styleId="xl2423908">
    <w:name w:val="xl2423908"/>
    <w:basedOn w:val="a1"/>
    <w:qFormat/>
    <w:pPr>
      <w:widowControl/>
      <w:spacing w:before="100" w:after="100"/>
      <w:jc w:val="left"/>
    </w:pPr>
    <w:rPr>
      <w:rFonts w:ascii="宋体" w:hAnsi="宋体" w:hint="eastAsia"/>
      <w:kern w:val="0"/>
      <w:sz w:val="24"/>
    </w:rPr>
  </w:style>
  <w:style w:type="paragraph" w:customStyle="1" w:styleId="xl2723908">
    <w:name w:val="xl2723908"/>
    <w:basedOn w:val="a1"/>
    <w:qFormat/>
    <w:pPr>
      <w:widowControl/>
      <w:spacing w:before="100" w:after="100"/>
      <w:jc w:val="left"/>
    </w:pPr>
    <w:rPr>
      <w:rFonts w:ascii="楷体_GB2312" w:eastAsia="楷体_GB2312" w:hAnsi="宋体" w:hint="eastAsia"/>
      <w:kern w:val="0"/>
      <w:sz w:val="24"/>
    </w:rPr>
  </w:style>
  <w:style w:type="paragraph" w:customStyle="1" w:styleId="xl2823908">
    <w:name w:val="xl2823908"/>
    <w:basedOn w:val="a1"/>
    <w:qFormat/>
    <w:pPr>
      <w:widowControl/>
      <w:pBdr>
        <w:top w:val="single" w:sz="4" w:space="1" w:color="auto"/>
        <w:left w:val="single" w:sz="4" w:space="1" w:color="auto"/>
        <w:bottom w:val="single" w:sz="4" w:space="0" w:color="auto"/>
        <w:right w:val="single" w:sz="4" w:space="1" w:color="auto"/>
      </w:pBdr>
      <w:spacing w:before="100" w:after="100"/>
      <w:jc w:val="center"/>
    </w:pPr>
    <w:rPr>
      <w:rFonts w:ascii="楷体_GB2312" w:eastAsia="楷体_GB2312" w:hAnsi="宋体" w:hint="eastAsia"/>
      <w:kern w:val="0"/>
      <w:sz w:val="24"/>
    </w:rPr>
  </w:style>
  <w:style w:type="paragraph" w:customStyle="1" w:styleId="13">
    <w:name w:val="列表1"/>
    <w:basedOn w:val="a1"/>
    <w:next w:val="a1"/>
    <w:qFormat/>
    <w:pPr>
      <w:tabs>
        <w:tab w:val="left" w:pos="644"/>
      </w:tabs>
      <w:spacing w:line="360" w:lineRule="auto"/>
      <w:ind w:left="567" w:hanging="283"/>
    </w:pPr>
    <w:rPr>
      <w:szCs w:val="20"/>
    </w:rPr>
  </w:style>
  <w:style w:type="paragraph" w:customStyle="1" w:styleId="20">
    <w:name w:val="列表2"/>
    <w:basedOn w:val="a1"/>
    <w:next w:val="aff7"/>
    <w:qFormat/>
    <w:pPr>
      <w:numPr>
        <w:numId w:val="5"/>
      </w:numPr>
      <w:spacing w:line="360" w:lineRule="auto"/>
    </w:pPr>
    <w:rPr>
      <w:szCs w:val="20"/>
    </w:rPr>
  </w:style>
  <w:style w:type="character" w:customStyle="1" w:styleId="afc">
    <w:name w:val="批注框文本 字符"/>
    <w:link w:val="afb"/>
    <w:qFormat/>
    <w:rPr>
      <w:rFonts w:ascii="Times New Roman" w:eastAsia="宋体" w:hAnsi="Times New Roman" w:cs="Times New Roman"/>
      <w:sz w:val="18"/>
      <w:szCs w:val="18"/>
    </w:rPr>
  </w:style>
  <w:style w:type="paragraph" w:customStyle="1" w:styleId="36">
    <w:name w:val="列表3"/>
    <w:basedOn w:val="a1"/>
    <w:qFormat/>
    <w:pPr>
      <w:spacing w:line="360" w:lineRule="auto"/>
    </w:pPr>
    <w:rPr>
      <w:rFonts w:ascii="宋体" w:hint="eastAsia"/>
      <w:szCs w:val="20"/>
    </w:rPr>
  </w:style>
  <w:style w:type="paragraph" w:customStyle="1" w:styleId="2211">
    <w:name w:val="样式 标题 2 + 首行缩进:  2 字符 段前: 1 行 段后: 1 行"/>
    <w:basedOn w:val="21"/>
    <w:qFormat/>
    <w:pPr>
      <w:tabs>
        <w:tab w:val="left" w:pos="1276"/>
      </w:tabs>
      <w:spacing w:before="100" w:after="100" w:line="240" w:lineRule="auto"/>
      <w:ind w:left="851"/>
    </w:pPr>
    <w:rPr>
      <w:rFonts w:eastAsia="宋体"/>
      <w:bCs w:val="0"/>
      <w:sz w:val="28"/>
      <w:szCs w:val="20"/>
    </w:rPr>
  </w:style>
  <w:style w:type="character" w:customStyle="1" w:styleId="affa">
    <w:name w:val="批注主题 字符"/>
    <w:link w:val="aff9"/>
    <w:qFormat/>
    <w:rPr>
      <w:rFonts w:ascii="Times New Roman" w:eastAsia="宋体" w:hAnsi="Times New Roman" w:cs="Times New Roman"/>
      <w:b/>
      <w:bCs/>
      <w:sz w:val="24"/>
      <w:szCs w:val="24"/>
    </w:rPr>
  </w:style>
  <w:style w:type="paragraph" w:customStyle="1" w:styleId="14">
    <w:name w:val="1"/>
    <w:basedOn w:val="a1"/>
    <w:qFormat/>
    <w:pPr>
      <w:tabs>
        <w:tab w:val="left" w:pos="870"/>
      </w:tabs>
      <w:spacing w:before="100" w:beforeAutospacing="1" w:after="100" w:afterAutospacing="1" w:line="360" w:lineRule="auto"/>
      <w:ind w:leftChars="200" w:left="200"/>
    </w:pPr>
  </w:style>
  <w:style w:type="paragraph" w:customStyle="1" w:styleId="15">
    <w:name w:val="样式 宋体 四号 行距: 1.5 倍行距"/>
    <w:basedOn w:val="a1"/>
    <w:qFormat/>
    <w:pPr>
      <w:spacing w:line="360" w:lineRule="auto"/>
    </w:pPr>
    <w:rPr>
      <w:rFonts w:ascii="宋体" w:hAnsi="宋体" w:hint="eastAsia"/>
      <w:sz w:val="24"/>
      <w:szCs w:val="20"/>
    </w:rPr>
  </w:style>
  <w:style w:type="paragraph" w:customStyle="1" w:styleId="afff5">
    <w:name w:val="正文正文"/>
    <w:basedOn w:val="a1"/>
    <w:qFormat/>
    <w:pPr>
      <w:spacing w:afterLines="25" w:line="360" w:lineRule="auto"/>
      <w:ind w:firstLineChars="200" w:firstLine="200"/>
    </w:pPr>
    <w:rPr>
      <w:sz w:val="24"/>
    </w:rPr>
  </w:style>
  <w:style w:type="paragraph" w:customStyle="1" w:styleId="unnamed1">
    <w:name w:val="unnamed1"/>
    <w:basedOn w:val="a1"/>
    <w:qFormat/>
    <w:pPr>
      <w:widowControl/>
      <w:spacing w:before="60" w:after="60"/>
      <w:ind w:left="15" w:right="15"/>
      <w:jc w:val="left"/>
    </w:pPr>
    <w:rPr>
      <w:rFonts w:ascii="宋体" w:hAnsi="宋体" w:hint="eastAsia"/>
      <w:color w:val="000000"/>
      <w:kern w:val="0"/>
      <w:sz w:val="18"/>
      <w:szCs w:val="18"/>
    </w:rPr>
  </w:style>
  <w:style w:type="paragraph" w:customStyle="1" w:styleId="afff6">
    <w:name w:val="第三级标题"/>
    <w:basedOn w:val="afff5"/>
    <w:next w:val="afff5"/>
    <w:qFormat/>
    <w:pPr>
      <w:keepNext/>
      <w:outlineLvl w:val="2"/>
    </w:pPr>
    <w:rPr>
      <w:b/>
    </w:rPr>
  </w:style>
  <w:style w:type="character" w:customStyle="1" w:styleId="tt11">
    <w:name w:val="tt11"/>
    <w:qFormat/>
    <w:rPr>
      <w:spacing w:val="400"/>
      <w:sz w:val="22"/>
      <w:szCs w:val="22"/>
    </w:rPr>
  </w:style>
  <w:style w:type="character" w:customStyle="1" w:styleId="afff7">
    <w:name w:val="a"/>
    <w:basedOn w:val="a2"/>
    <w:qFormat/>
  </w:style>
  <w:style w:type="character" w:customStyle="1" w:styleId="md1">
    <w:name w:val="md1"/>
    <w:qFormat/>
    <w:rPr>
      <w:spacing w:val="360"/>
      <w:sz w:val="25"/>
      <w:szCs w:val="25"/>
    </w:rPr>
  </w:style>
  <w:style w:type="character" w:customStyle="1" w:styleId="style21">
    <w:name w:val="style21"/>
    <w:qFormat/>
    <w:rPr>
      <w:color w:val="006699"/>
      <w:spacing w:val="31680"/>
      <w:sz w:val="18"/>
      <w:szCs w:val="18"/>
      <w:u w:val="none"/>
    </w:rPr>
  </w:style>
  <w:style w:type="character" w:customStyle="1" w:styleId="read">
    <w:name w:val="read"/>
    <w:basedOn w:val="a2"/>
    <w:qFormat/>
  </w:style>
  <w:style w:type="character" w:customStyle="1" w:styleId="big1">
    <w:name w:val="big1"/>
    <w:qFormat/>
    <w:rPr>
      <w:spacing w:val="360"/>
      <w:sz w:val="22"/>
      <w:szCs w:val="22"/>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CharCharCharChar">
    <w:name w:val="Char Char Char Char"/>
    <w:basedOn w:val="a1"/>
    <w:qFormat/>
    <w:pPr>
      <w:tabs>
        <w:tab w:val="left" w:pos="360"/>
      </w:tabs>
    </w:pPr>
    <w:rPr>
      <w:sz w:val="24"/>
    </w:rPr>
  </w:style>
  <w:style w:type="paragraph" w:customStyle="1" w:styleId="AODocTxt">
    <w:name w:val="AODocTxt"/>
    <w:basedOn w:val="AOBodyTxt"/>
    <w:qFormat/>
    <w:pPr>
      <w:numPr>
        <w:numId w:val="6"/>
      </w:numPr>
    </w:pPr>
  </w:style>
  <w:style w:type="paragraph" w:customStyle="1" w:styleId="AOBodyTxt">
    <w:name w:val="AOBodyTxt"/>
    <w:basedOn w:val="AONormal"/>
    <w:next w:val="AODocTxt"/>
    <w:qFormat/>
    <w:pPr>
      <w:spacing w:before="240"/>
    </w:pPr>
  </w:style>
  <w:style w:type="paragraph" w:customStyle="1" w:styleId="AOBullet">
    <w:name w:val="AOBullet"/>
    <w:basedOn w:val="AOBodyTxt"/>
    <w:qFormat/>
    <w:pPr>
      <w:numPr>
        <w:numId w:val="7"/>
      </w:numPr>
      <w:tabs>
        <w:tab w:val="clear" w:pos="720"/>
      </w:tabs>
    </w:pPr>
  </w:style>
  <w:style w:type="paragraph" w:customStyle="1" w:styleId="AODefHead">
    <w:name w:val="AODefHead"/>
    <w:basedOn w:val="AOBodyTxt"/>
    <w:next w:val="AODefPara"/>
    <w:qFormat/>
    <w:pPr>
      <w:numPr>
        <w:numId w:val="8"/>
      </w:numPr>
      <w:outlineLvl w:val="5"/>
    </w:pPr>
  </w:style>
  <w:style w:type="paragraph" w:customStyle="1" w:styleId="AODefPara">
    <w:name w:val="AODefPara"/>
    <w:basedOn w:val="AODefHead"/>
    <w:qFormat/>
    <w:pPr>
      <w:numPr>
        <w:ilvl w:val="1"/>
      </w:numPr>
      <w:tabs>
        <w:tab w:val="left" w:pos="992"/>
      </w:tabs>
      <w:ind w:left="992" w:hanging="992"/>
      <w:outlineLvl w:val="6"/>
    </w:pPr>
  </w:style>
  <w:style w:type="paragraph" w:customStyle="1" w:styleId="AO1">
    <w:name w:val="AO(1)"/>
    <w:basedOn w:val="AOBodyTxt"/>
    <w:next w:val="AODocTxt"/>
    <w:qFormat/>
    <w:pPr>
      <w:numPr>
        <w:numId w:val="9"/>
      </w:numPr>
      <w:tabs>
        <w:tab w:val="clear" w:pos="720"/>
      </w:tabs>
    </w:pPr>
  </w:style>
  <w:style w:type="paragraph" w:customStyle="1" w:styleId="AOA">
    <w:name w:val="AO(A)"/>
    <w:basedOn w:val="AOBodyTxt"/>
    <w:next w:val="AODocTxt"/>
    <w:qFormat/>
    <w:pPr>
      <w:numPr>
        <w:numId w:val="10"/>
      </w:numPr>
      <w:tabs>
        <w:tab w:val="clear" w:pos="720"/>
      </w:tabs>
    </w:pPr>
  </w:style>
  <w:style w:type="paragraph" w:customStyle="1" w:styleId="AOAnxHead">
    <w:name w:val="AOAnxHead"/>
    <w:basedOn w:val="AOAttachments"/>
    <w:next w:val="AOAnxTitle"/>
    <w:qFormat/>
    <w:pPr>
      <w:pageBreakBefore/>
      <w:numPr>
        <w:numId w:val="11"/>
      </w:numPr>
      <w:outlineLvl w:val="0"/>
    </w:pPr>
  </w:style>
  <w:style w:type="paragraph" w:customStyle="1" w:styleId="AOAttachments">
    <w:name w:val="AOAttachments"/>
    <w:basedOn w:val="AOBodyTxt"/>
    <w:next w:val="AODocTxt"/>
    <w:qFormat/>
    <w:pPr>
      <w:jc w:val="center"/>
    </w:pPr>
    <w:rPr>
      <w:caps/>
    </w:rPr>
  </w:style>
  <w:style w:type="paragraph" w:customStyle="1" w:styleId="AOAnxTitle">
    <w:name w:val="AOAnxTitle"/>
    <w:basedOn w:val="AOAttachments"/>
    <w:next w:val="AODocTxt"/>
    <w:qFormat/>
    <w:pPr>
      <w:outlineLvl w:val="1"/>
    </w:pPr>
    <w:rPr>
      <w:b/>
    </w:rPr>
  </w:style>
  <w:style w:type="paragraph" w:customStyle="1" w:styleId="AOAnxPartHead">
    <w:name w:val="AOAnxPartHead"/>
    <w:basedOn w:val="AOAnxHead"/>
    <w:next w:val="AOAnxPartTitle"/>
    <w:qFormat/>
    <w:pPr>
      <w:pageBreakBefore w:val="0"/>
      <w:numPr>
        <w:ilvl w:val="1"/>
      </w:numPr>
      <w:tabs>
        <w:tab w:val="left" w:pos="1440"/>
      </w:tabs>
      <w:ind w:left="1440" w:hanging="360"/>
    </w:pPr>
  </w:style>
  <w:style w:type="paragraph" w:customStyle="1" w:styleId="AOAnxPartTitle">
    <w:name w:val="AOAnxPartTitle"/>
    <w:basedOn w:val="AOAnxTitle"/>
    <w:next w:val="AODocTxt"/>
    <w:qFormat/>
  </w:style>
  <w:style w:type="paragraph" w:customStyle="1" w:styleId="AOAppHead">
    <w:name w:val="AOAppHead"/>
    <w:basedOn w:val="AOAttachments"/>
    <w:next w:val="AOAppTitle"/>
    <w:qFormat/>
    <w:pPr>
      <w:pageBreakBefore/>
      <w:numPr>
        <w:numId w:val="12"/>
      </w:numPr>
      <w:tabs>
        <w:tab w:val="left" w:pos="360"/>
      </w:tabs>
      <w:outlineLvl w:val="0"/>
    </w:pPr>
  </w:style>
  <w:style w:type="paragraph" w:customStyle="1" w:styleId="AOAppTitle">
    <w:name w:val="AOAppTitle"/>
    <w:basedOn w:val="AOAttachments"/>
    <w:next w:val="AODocTxt"/>
    <w:qFormat/>
    <w:pPr>
      <w:outlineLvl w:val="1"/>
    </w:pPr>
    <w:rPr>
      <w:b/>
    </w:rPr>
  </w:style>
  <w:style w:type="paragraph" w:customStyle="1" w:styleId="AOAppPartHead">
    <w:name w:val="AOAppPartHead"/>
    <w:basedOn w:val="AOAppHead"/>
    <w:next w:val="AOAppPartTitle"/>
    <w:qFormat/>
    <w:pPr>
      <w:pageBreakBefore w:val="0"/>
      <w:numPr>
        <w:ilvl w:val="1"/>
      </w:numPr>
      <w:tabs>
        <w:tab w:val="left" w:pos="840"/>
      </w:tabs>
      <w:ind w:left="840" w:hanging="420"/>
    </w:pPr>
  </w:style>
  <w:style w:type="paragraph" w:customStyle="1" w:styleId="AOAppPartTitle">
    <w:name w:val="AOAppPartTitle"/>
    <w:basedOn w:val="AOAppTitle"/>
    <w:next w:val="AODocTxt"/>
    <w:qFormat/>
  </w:style>
  <w:style w:type="paragraph" w:customStyle="1" w:styleId="AOSchHead">
    <w:name w:val="AOSchHead"/>
    <w:basedOn w:val="AOAttachments"/>
    <w:next w:val="AOSchTitle"/>
    <w:qFormat/>
    <w:pPr>
      <w:pageBreakBefore/>
      <w:numPr>
        <w:numId w:val="13"/>
      </w:numPr>
      <w:outlineLvl w:val="0"/>
    </w:pPr>
  </w:style>
  <w:style w:type="paragraph" w:customStyle="1" w:styleId="AOSchTitle">
    <w:name w:val="AOSchTitle"/>
    <w:basedOn w:val="AOAttachments"/>
    <w:next w:val="AODocTxt"/>
    <w:qFormat/>
    <w:pPr>
      <w:outlineLvl w:val="1"/>
    </w:pPr>
    <w:rPr>
      <w:b/>
    </w:rPr>
  </w:style>
  <w:style w:type="paragraph" w:customStyle="1" w:styleId="AOSchPartHead">
    <w:name w:val="AOSchPartHead"/>
    <w:basedOn w:val="AOSchHead"/>
    <w:next w:val="AOSchPartTitle"/>
    <w:qFormat/>
    <w:pPr>
      <w:pageBreakBefore w:val="0"/>
      <w:numPr>
        <w:ilvl w:val="1"/>
      </w:numPr>
      <w:tabs>
        <w:tab w:val="left" w:pos="780"/>
      </w:tabs>
      <w:ind w:firstLine="420"/>
    </w:pPr>
  </w:style>
  <w:style w:type="paragraph" w:customStyle="1" w:styleId="AOSchPartTitle">
    <w:name w:val="AOSchPartTitle"/>
    <w:basedOn w:val="AOSchTitle"/>
    <w:next w:val="AODocTxt"/>
    <w:qFormat/>
  </w:style>
  <w:style w:type="paragraph" w:customStyle="1" w:styleId="AODocTxtL1">
    <w:name w:val="AODocTxtL1"/>
    <w:basedOn w:val="AODocTxt"/>
    <w:qFormat/>
    <w:pPr>
      <w:numPr>
        <w:ilvl w:val="1"/>
      </w:numPr>
      <w:tabs>
        <w:tab w:val="left" w:pos="780"/>
      </w:tabs>
      <w:ind w:left="0" w:firstLine="420"/>
    </w:pPr>
  </w:style>
  <w:style w:type="paragraph" w:customStyle="1" w:styleId="AODocTxtL2">
    <w:name w:val="AODocTxtL2"/>
    <w:basedOn w:val="AODocTxt"/>
    <w:qFormat/>
    <w:pPr>
      <w:numPr>
        <w:ilvl w:val="2"/>
      </w:numPr>
      <w:tabs>
        <w:tab w:val="left" w:pos="2160"/>
      </w:tabs>
      <w:ind w:left="2160" w:hanging="360"/>
    </w:pPr>
  </w:style>
  <w:style w:type="paragraph" w:customStyle="1" w:styleId="AODocTxtL3">
    <w:name w:val="AODocTxtL3"/>
    <w:basedOn w:val="AODocTxt"/>
    <w:qFormat/>
    <w:pPr>
      <w:numPr>
        <w:ilvl w:val="3"/>
      </w:numPr>
      <w:tabs>
        <w:tab w:val="left" w:pos="2880"/>
      </w:tabs>
      <w:ind w:left="2880" w:hanging="360"/>
    </w:pPr>
  </w:style>
  <w:style w:type="paragraph" w:customStyle="1" w:styleId="AODocTxtL4">
    <w:name w:val="AODocTxtL4"/>
    <w:basedOn w:val="AODocTxt"/>
    <w:qFormat/>
    <w:pPr>
      <w:numPr>
        <w:ilvl w:val="4"/>
      </w:numPr>
      <w:tabs>
        <w:tab w:val="left" w:pos="3600"/>
      </w:tabs>
      <w:ind w:left="3600" w:hanging="360"/>
    </w:pPr>
  </w:style>
  <w:style w:type="paragraph" w:customStyle="1" w:styleId="AODocTxtL5">
    <w:name w:val="AODocTxtL5"/>
    <w:basedOn w:val="AODocTxt"/>
    <w:qFormat/>
    <w:pPr>
      <w:numPr>
        <w:ilvl w:val="5"/>
      </w:numPr>
      <w:tabs>
        <w:tab w:val="left" w:pos="4320"/>
      </w:tabs>
      <w:ind w:left="4320" w:hanging="360"/>
    </w:pPr>
  </w:style>
  <w:style w:type="paragraph" w:customStyle="1" w:styleId="AODocTxtL6">
    <w:name w:val="AODocTxtL6"/>
    <w:basedOn w:val="AODocTxt"/>
    <w:qFormat/>
    <w:pPr>
      <w:numPr>
        <w:ilvl w:val="6"/>
      </w:numPr>
      <w:tabs>
        <w:tab w:val="left" w:pos="5040"/>
      </w:tabs>
      <w:ind w:left="5040" w:hanging="360"/>
    </w:pPr>
  </w:style>
  <w:style w:type="paragraph" w:customStyle="1" w:styleId="AODocTxtL7">
    <w:name w:val="AODocTxtL7"/>
    <w:basedOn w:val="AODocTxt"/>
    <w:qFormat/>
    <w:pPr>
      <w:numPr>
        <w:ilvl w:val="7"/>
      </w:numPr>
      <w:tabs>
        <w:tab w:val="left" w:pos="5760"/>
      </w:tabs>
      <w:ind w:left="5760" w:hanging="360"/>
    </w:pPr>
  </w:style>
  <w:style w:type="paragraph" w:customStyle="1" w:styleId="AODocTxtL8">
    <w:name w:val="AODocTxtL8"/>
    <w:basedOn w:val="AODocTxt"/>
    <w:qFormat/>
    <w:pPr>
      <w:numPr>
        <w:ilvl w:val="8"/>
      </w:numPr>
      <w:tabs>
        <w:tab w:val="left" w:pos="6480"/>
      </w:tabs>
      <w:ind w:left="6480" w:hanging="360"/>
    </w:pPr>
  </w:style>
  <w:style w:type="paragraph" w:customStyle="1" w:styleId="AOGenNum1">
    <w:name w:val="AOGenNum1"/>
    <w:basedOn w:val="AOBodyTxt"/>
    <w:next w:val="AOGenNum1Para"/>
    <w:qFormat/>
    <w:pPr>
      <w:keepNext/>
      <w:numPr>
        <w:numId w:val="14"/>
      </w:numPr>
    </w:pPr>
    <w:rPr>
      <w:b/>
      <w:caps/>
    </w:rPr>
  </w:style>
  <w:style w:type="paragraph" w:customStyle="1" w:styleId="AOGenNum1Para">
    <w:name w:val="AOGenNum1Para"/>
    <w:basedOn w:val="AOGenNum1"/>
    <w:next w:val="AOGenNum1List"/>
    <w:qFormat/>
    <w:pPr>
      <w:numPr>
        <w:ilvl w:val="1"/>
      </w:numPr>
      <w:tabs>
        <w:tab w:val="clear" w:pos="720"/>
        <w:tab w:val="left" w:pos="1588"/>
      </w:tabs>
      <w:ind w:left="1588" w:hanging="737"/>
    </w:pPr>
    <w:rPr>
      <w:caps w:val="0"/>
    </w:rPr>
  </w:style>
  <w:style w:type="paragraph" w:customStyle="1" w:styleId="AOGenNum1List">
    <w:name w:val="AOGenNum1List"/>
    <w:basedOn w:val="AOGenNum1"/>
    <w:qFormat/>
    <w:pPr>
      <w:keepNext w:val="0"/>
      <w:numPr>
        <w:ilvl w:val="2"/>
      </w:numPr>
      <w:tabs>
        <w:tab w:val="clear" w:pos="720"/>
        <w:tab w:val="left" w:pos="851"/>
      </w:tabs>
      <w:ind w:left="851" w:hanging="431"/>
    </w:pPr>
    <w:rPr>
      <w:b w:val="0"/>
      <w:caps w:val="0"/>
    </w:rPr>
  </w:style>
  <w:style w:type="paragraph" w:customStyle="1" w:styleId="AOGenNum2">
    <w:name w:val="AOGenNum2"/>
    <w:basedOn w:val="AOBodyTxt"/>
    <w:next w:val="AOGenNum2Para"/>
    <w:qFormat/>
    <w:pPr>
      <w:keepNext/>
      <w:numPr>
        <w:numId w:val="15"/>
      </w:numPr>
    </w:pPr>
    <w:rPr>
      <w:b/>
    </w:rPr>
  </w:style>
  <w:style w:type="paragraph" w:customStyle="1" w:styleId="AOGenNum2Para">
    <w:name w:val="AOGenNum2Para"/>
    <w:basedOn w:val="AOGenNum2"/>
    <w:next w:val="AOGenNum2List"/>
    <w:qFormat/>
    <w:pPr>
      <w:keepNext w:val="0"/>
      <w:numPr>
        <w:ilvl w:val="1"/>
      </w:numPr>
      <w:tabs>
        <w:tab w:val="clear" w:pos="720"/>
        <w:tab w:val="left" w:pos="1588"/>
      </w:tabs>
      <w:ind w:left="1588" w:hanging="737"/>
    </w:pPr>
    <w:rPr>
      <w:b w:val="0"/>
    </w:rPr>
  </w:style>
  <w:style w:type="paragraph" w:customStyle="1" w:styleId="AOGenNum2List">
    <w:name w:val="AOGenNum2List"/>
    <w:basedOn w:val="AOGenNum2"/>
    <w:qFormat/>
    <w:pPr>
      <w:keepNext w:val="0"/>
      <w:numPr>
        <w:ilvl w:val="2"/>
      </w:numPr>
      <w:tabs>
        <w:tab w:val="clear" w:pos="720"/>
        <w:tab w:val="left" w:pos="1021"/>
      </w:tabs>
      <w:ind w:left="1021" w:hanging="601"/>
    </w:pPr>
    <w:rPr>
      <w:b w:val="0"/>
    </w:rPr>
  </w:style>
  <w:style w:type="paragraph" w:customStyle="1" w:styleId="AOGenNum3">
    <w:name w:val="AOGenNum3"/>
    <w:basedOn w:val="AOBodyTxt"/>
    <w:next w:val="AOGenNum3List"/>
    <w:qFormat/>
    <w:pPr>
      <w:numPr>
        <w:numId w:val="16"/>
      </w:numPr>
    </w:pPr>
  </w:style>
  <w:style w:type="paragraph" w:customStyle="1" w:styleId="AOGenNum3List">
    <w:name w:val="AOGenNum3List"/>
    <w:basedOn w:val="AOGenNum3"/>
    <w:qFormat/>
    <w:pPr>
      <w:numPr>
        <w:ilvl w:val="1"/>
      </w:numPr>
      <w:tabs>
        <w:tab w:val="clear" w:pos="720"/>
        <w:tab w:val="left" w:pos="840"/>
      </w:tabs>
      <w:ind w:left="840" w:hanging="420"/>
    </w:pPr>
  </w:style>
  <w:style w:type="paragraph" w:customStyle="1" w:styleId="AOHead1">
    <w:name w:val="AOHead1"/>
    <w:basedOn w:val="AOHeadings"/>
    <w:next w:val="AODocTxtL1"/>
    <w:qFormat/>
    <w:pPr>
      <w:keepNext/>
      <w:numPr>
        <w:numId w:val="17"/>
      </w:numPr>
      <w:outlineLvl w:val="0"/>
    </w:pPr>
    <w:rPr>
      <w:b/>
      <w:caps/>
      <w:kern w:val="28"/>
    </w:rPr>
  </w:style>
  <w:style w:type="paragraph" w:customStyle="1" w:styleId="AOHeadings">
    <w:name w:val="AOHeadings"/>
    <w:basedOn w:val="AOBodyTxt"/>
    <w:next w:val="AODocTxt"/>
    <w:qFormat/>
  </w:style>
  <w:style w:type="paragraph" w:customStyle="1" w:styleId="AOHead2">
    <w:name w:val="AOHead2"/>
    <w:basedOn w:val="AOHeadings"/>
    <w:next w:val="AODocTxtL1"/>
    <w:qFormat/>
    <w:pPr>
      <w:keepNext/>
      <w:numPr>
        <w:ilvl w:val="1"/>
        <w:numId w:val="17"/>
      </w:numPr>
      <w:outlineLvl w:val="1"/>
    </w:pPr>
    <w:rPr>
      <w:b/>
    </w:rPr>
  </w:style>
  <w:style w:type="paragraph" w:customStyle="1" w:styleId="AOHead3">
    <w:name w:val="AOHead3"/>
    <w:basedOn w:val="AOHeadings"/>
    <w:next w:val="AODocTxtL2"/>
    <w:qFormat/>
    <w:pPr>
      <w:numPr>
        <w:ilvl w:val="2"/>
        <w:numId w:val="17"/>
      </w:numPr>
      <w:outlineLvl w:val="2"/>
    </w:pPr>
  </w:style>
  <w:style w:type="paragraph" w:customStyle="1" w:styleId="AOHead4">
    <w:name w:val="AOHead4"/>
    <w:basedOn w:val="AOHeadings"/>
    <w:next w:val="AODocTxtL3"/>
    <w:qFormat/>
    <w:pPr>
      <w:numPr>
        <w:ilvl w:val="3"/>
        <w:numId w:val="17"/>
      </w:numPr>
      <w:outlineLvl w:val="3"/>
    </w:pPr>
  </w:style>
  <w:style w:type="paragraph" w:customStyle="1" w:styleId="AOHead5">
    <w:name w:val="AOHead5"/>
    <w:basedOn w:val="AOHeadings"/>
    <w:next w:val="AODocTxtL4"/>
    <w:qFormat/>
    <w:pPr>
      <w:numPr>
        <w:ilvl w:val="4"/>
        <w:numId w:val="17"/>
      </w:numPr>
      <w:outlineLvl w:val="4"/>
    </w:pPr>
  </w:style>
  <w:style w:type="paragraph" w:customStyle="1" w:styleId="AOHead6">
    <w:name w:val="AOHead6"/>
    <w:basedOn w:val="AOHeadings"/>
    <w:next w:val="AODocTxtL5"/>
    <w:qFormat/>
    <w:pPr>
      <w:numPr>
        <w:ilvl w:val="5"/>
        <w:numId w:val="17"/>
      </w:numPr>
      <w:outlineLvl w:val="5"/>
    </w:pPr>
  </w:style>
  <w:style w:type="paragraph" w:customStyle="1" w:styleId="AOAltHead1">
    <w:name w:val="AOAltHead1"/>
    <w:basedOn w:val="AOHead1"/>
    <w:next w:val="AODocTxtL1"/>
    <w:qFormat/>
    <w:pPr>
      <w:keepNext w:val="0"/>
      <w:tabs>
        <w:tab w:val="clear" w:pos="720"/>
      </w:tabs>
    </w:pPr>
    <w:rPr>
      <w:b w:val="0"/>
      <w:caps w:val="0"/>
    </w:rPr>
  </w:style>
  <w:style w:type="paragraph" w:customStyle="1" w:styleId="AOAltHead2">
    <w:name w:val="AOAltHead2"/>
    <w:basedOn w:val="AOHead2"/>
    <w:next w:val="AODocTxtL1"/>
    <w:qFormat/>
    <w:pPr>
      <w:keepNext w:val="0"/>
      <w:tabs>
        <w:tab w:val="clear" w:pos="720"/>
      </w:tabs>
    </w:pPr>
    <w:rPr>
      <w:b w:val="0"/>
    </w:rPr>
  </w:style>
  <w:style w:type="paragraph" w:customStyle="1" w:styleId="AOAltHead3">
    <w:name w:val="AOAltHead3"/>
    <w:basedOn w:val="AOHead3"/>
    <w:next w:val="AODocTxtL1"/>
    <w:qFormat/>
    <w:pPr>
      <w:tabs>
        <w:tab w:val="clear" w:pos="1440"/>
      </w:tabs>
      <w:ind w:left="720"/>
    </w:pPr>
  </w:style>
  <w:style w:type="paragraph" w:customStyle="1" w:styleId="AOAltHead4">
    <w:name w:val="AOAltHead4"/>
    <w:basedOn w:val="AOHead4"/>
    <w:next w:val="AODocTxtL2"/>
    <w:qFormat/>
    <w:pPr>
      <w:tabs>
        <w:tab w:val="clear" w:pos="2160"/>
      </w:tabs>
      <w:ind w:left="1440"/>
    </w:pPr>
  </w:style>
  <w:style w:type="paragraph" w:customStyle="1" w:styleId="AOAltHead5">
    <w:name w:val="AOAltHead5"/>
    <w:basedOn w:val="AOHead5"/>
    <w:next w:val="AODocTxtL3"/>
    <w:qFormat/>
    <w:pPr>
      <w:tabs>
        <w:tab w:val="clear" w:pos="2880"/>
      </w:tabs>
      <w:ind w:left="2160"/>
    </w:pPr>
  </w:style>
  <w:style w:type="paragraph" w:customStyle="1" w:styleId="AOAltHead6">
    <w:name w:val="AOAltHead6"/>
    <w:basedOn w:val="AOHead6"/>
    <w:next w:val="AODocTxtL4"/>
    <w:qFormat/>
    <w:pPr>
      <w:tabs>
        <w:tab w:val="clear" w:pos="3600"/>
      </w:tabs>
      <w:ind w:left="2880"/>
    </w:pPr>
  </w:style>
  <w:style w:type="paragraph" w:customStyle="1" w:styleId="AOListNumber">
    <w:name w:val="AOListNumber"/>
    <w:basedOn w:val="AOBodyTxt"/>
    <w:qFormat/>
    <w:pPr>
      <w:numPr>
        <w:numId w:val="18"/>
      </w:numPr>
      <w:tabs>
        <w:tab w:val="clear" w:pos="720"/>
      </w:tabs>
    </w:pPr>
  </w:style>
  <w:style w:type="paragraph" w:customStyle="1" w:styleId="AOBullet2">
    <w:name w:val="AOBullet2"/>
    <w:basedOn w:val="AOBullet"/>
    <w:qFormat/>
    <w:pPr>
      <w:numPr>
        <w:numId w:val="19"/>
      </w:numPr>
      <w:tabs>
        <w:tab w:val="left" w:pos="1280"/>
      </w:tabs>
      <w:spacing w:before="120"/>
      <w:ind w:left="1280"/>
    </w:pPr>
  </w:style>
  <w:style w:type="paragraph" w:customStyle="1" w:styleId="AOBullet3">
    <w:name w:val="AOBullet3"/>
    <w:basedOn w:val="AOBodyTxt"/>
    <w:qFormat/>
    <w:pPr>
      <w:numPr>
        <w:numId w:val="20"/>
      </w:numPr>
      <w:tabs>
        <w:tab w:val="clear" w:pos="720"/>
      </w:tabs>
      <w:spacing w:before="120"/>
    </w:pPr>
  </w:style>
  <w:style w:type="paragraph" w:customStyle="1" w:styleId="AOBullet4">
    <w:name w:val="AOBullet4"/>
    <w:basedOn w:val="AOBodyTxt"/>
    <w:qFormat/>
    <w:pPr>
      <w:numPr>
        <w:numId w:val="21"/>
      </w:numPr>
      <w:spacing w:before="120"/>
    </w:pPr>
  </w:style>
  <w:style w:type="paragraph" w:customStyle="1" w:styleId="afff8">
    <w:name w:val="正文所"/>
    <w:basedOn w:val="a1"/>
    <w:qFormat/>
    <w:pPr>
      <w:spacing w:line="360" w:lineRule="auto"/>
      <w:ind w:firstLineChars="200" w:firstLine="420"/>
    </w:pPr>
  </w:style>
  <w:style w:type="paragraph" w:customStyle="1" w:styleId="AOFPBP">
    <w:name w:val="AOFPBP"/>
    <w:basedOn w:val="AONormal"/>
    <w:next w:val="AOFPTxt"/>
    <w:qFormat/>
  </w:style>
  <w:style w:type="paragraph" w:customStyle="1" w:styleId="AOFPTxt">
    <w:name w:val="AOFPTxt"/>
    <w:basedOn w:val="AOFPBP"/>
    <w:qFormat/>
    <w:rPr>
      <w:b/>
    </w:rPr>
  </w:style>
  <w:style w:type="paragraph" w:customStyle="1" w:styleId="AOFPCopyright">
    <w:name w:val="AOFPCopyright"/>
    <w:basedOn w:val="AOFPTxt"/>
    <w:qFormat/>
    <w:rPr>
      <w:caps/>
    </w:rPr>
  </w:style>
  <w:style w:type="paragraph" w:customStyle="1" w:styleId="AOFPDate">
    <w:name w:val="AOFPDate"/>
    <w:basedOn w:val="AOFPTxt"/>
    <w:qFormat/>
    <w:rPr>
      <w:caps/>
    </w:rPr>
  </w:style>
  <w:style w:type="paragraph" w:customStyle="1" w:styleId="AOFPTitle">
    <w:name w:val="AOFPTitle"/>
    <w:basedOn w:val="AOFPTxt"/>
    <w:qFormat/>
    <w:rPr>
      <w:caps/>
      <w:sz w:val="32"/>
    </w:rPr>
  </w:style>
  <w:style w:type="paragraph" w:customStyle="1" w:styleId="AOFPTxtCaps">
    <w:name w:val="AOFPTxtCaps"/>
    <w:basedOn w:val="AOFPTxt"/>
    <w:qFormat/>
    <w:rPr>
      <w:caps/>
    </w:rPr>
  </w:style>
  <w:style w:type="character" w:customStyle="1" w:styleId="AOHidden">
    <w:name w:val="AOHidden"/>
    <w:qFormat/>
    <w:rPr>
      <w:vanish/>
      <w:color w:val="auto"/>
    </w:rPr>
  </w:style>
  <w:style w:type="paragraph" w:customStyle="1" w:styleId="AOLocation">
    <w:name w:val="AOLocation"/>
    <w:basedOn w:val="AOFPBP"/>
    <w:qFormat/>
    <w:pPr>
      <w:spacing w:before="160"/>
      <w:jc w:val="center"/>
    </w:pPr>
    <w:rPr>
      <w:b/>
      <w:caps/>
    </w:rPr>
  </w:style>
  <w:style w:type="paragraph" w:customStyle="1" w:styleId="AOSignatory">
    <w:name w:val="AOSignatory"/>
    <w:basedOn w:val="AOBodyTxt"/>
    <w:next w:val="AODocTxt"/>
    <w:qFormat/>
    <w:pPr>
      <w:pageBreakBefore/>
      <w:spacing w:after="240"/>
      <w:jc w:val="center"/>
    </w:pPr>
    <w:rPr>
      <w:b/>
      <w:caps/>
    </w:rPr>
  </w:style>
  <w:style w:type="paragraph" w:customStyle="1" w:styleId="AOTitle">
    <w:name w:val="AOTitle"/>
    <w:basedOn w:val="AOHeadings"/>
    <w:next w:val="AODocTxt"/>
    <w:qFormat/>
    <w:pPr>
      <w:jc w:val="center"/>
    </w:pPr>
    <w:rPr>
      <w:b/>
      <w:caps/>
    </w:rPr>
  </w:style>
  <w:style w:type="paragraph" w:customStyle="1" w:styleId="AOTOCHeading">
    <w:name w:val="AOTOCHeading"/>
    <w:basedOn w:val="AOHeadings"/>
    <w:next w:val="AODocTxt"/>
    <w:qFormat/>
    <w:pPr>
      <w:tabs>
        <w:tab w:val="right" w:pos="9000"/>
      </w:tabs>
      <w:spacing w:after="240"/>
    </w:pPr>
    <w:rPr>
      <w:b/>
    </w:rPr>
  </w:style>
  <w:style w:type="paragraph" w:customStyle="1" w:styleId="AOTOCs">
    <w:name w:val="AOTOCs"/>
    <w:basedOn w:val="AONormal"/>
    <w:next w:val="11"/>
    <w:qFormat/>
    <w:pPr>
      <w:jc w:val="both"/>
    </w:pPr>
  </w:style>
  <w:style w:type="paragraph" w:customStyle="1" w:styleId="AOTOCTitle">
    <w:name w:val="AOTOCTitle"/>
    <w:basedOn w:val="AOHeadings"/>
    <w:next w:val="AOTOCHeading"/>
    <w:qFormat/>
    <w:pPr>
      <w:jc w:val="center"/>
    </w:pPr>
    <w:rPr>
      <w:b/>
      <w:caps/>
    </w:rPr>
  </w:style>
  <w:style w:type="character" w:customStyle="1" w:styleId="afa">
    <w:name w:val="尾注文本 字符"/>
    <w:link w:val="af9"/>
    <w:qFormat/>
    <w:rPr>
      <w:rFonts w:ascii="Times New Roman" w:eastAsia="宋体" w:hAnsi="Times New Roman" w:cs="Times New Roman"/>
      <w:kern w:val="0"/>
      <w:sz w:val="16"/>
      <w:lang w:val="en-GB" w:eastAsia="en-US"/>
    </w:rPr>
  </w:style>
  <w:style w:type="paragraph" w:customStyle="1" w:styleId="AOHeading1">
    <w:name w:val="AOHeading1"/>
    <w:basedOn w:val="AOHeadings"/>
    <w:next w:val="AODocTxt"/>
    <w:qFormat/>
    <w:pPr>
      <w:keepNext/>
      <w:outlineLvl w:val="0"/>
    </w:pPr>
    <w:rPr>
      <w:b/>
      <w:caps/>
      <w:kern w:val="28"/>
    </w:rPr>
  </w:style>
  <w:style w:type="paragraph" w:customStyle="1" w:styleId="AOHeading2">
    <w:name w:val="AOHeading2"/>
    <w:basedOn w:val="AOHeadings"/>
    <w:next w:val="AODocTxt"/>
    <w:qFormat/>
    <w:pPr>
      <w:keepNext/>
      <w:outlineLvl w:val="1"/>
    </w:pPr>
    <w:rPr>
      <w:b/>
    </w:rPr>
  </w:style>
  <w:style w:type="paragraph" w:customStyle="1" w:styleId="AOHeading3">
    <w:name w:val="AOHeading3"/>
    <w:basedOn w:val="AOHeadings"/>
    <w:next w:val="AODocTxtL1"/>
    <w:qFormat/>
    <w:pPr>
      <w:keepNext/>
      <w:ind w:left="720"/>
      <w:outlineLvl w:val="2"/>
    </w:pPr>
    <w:rPr>
      <w:b/>
    </w:rPr>
  </w:style>
  <w:style w:type="paragraph" w:customStyle="1" w:styleId="AOHeading4">
    <w:name w:val="AOHeading4"/>
    <w:basedOn w:val="AOHeadings"/>
    <w:next w:val="AODocTxt"/>
    <w:qFormat/>
    <w:pPr>
      <w:keepNext/>
      <w:outlineLvl w:val="3"/>
    </w:pPr>
    <w:rPr>
      <w:i/>
    </w:rPr>
  </w:style>
  <w:style w:type="paragraph" w:customStyle="1" w:styleId="AOHeading5">
    <w:name w:val="AOHeading5"/>
    <w:basedOn w:val="AOHeadings"/>
    <w:next w:val="AODocTxtL1"/>
    <w:qFormat/>
    <w:pPr>
      <w:keepNext/>
      <w:ind w:left="720"/>
      <w:outlineLvl w:val="4"/>
    </w:pPr>
    <w:rPr>
      <w:i/>
    </w:rPr>
  </w:style>
  <w:style w:type="paragraph" w:customStyle="1" w:styleId="AOHeading6">
    <w:name w:val="AOHeading6"/>
    <w:basedOn w:val="AOHeadings"/>
    <w:next w:val="AODocTxt"/>
    <w:qFormat/>
    <w:pPr>
      <w:keepNext/>
      <w:outlineLvl w:val="5"/>
    </w:pPr>
    <w:rPr>
      <w:b/>
      <w:i/>
    </w:rPr>
  </w:style>
  <w:style w:type="paragraph" w:customStyle="1" w:styleId="AOHeading7">
    <w:name w:val="AOHeading7"/>
    <w:basedOn w:val="AOHeadings"/>
    <w:next w:val="AODocTxtL1"/>
    <w:qFormat/>
    <w:pPr>
      <w:keepNext/>
      <w:ind w:left="720"/>
      <w:outlineLvl w:val="6"/>
    </w:pPr>
    <w:rPr>
      <w:b/>
      <w:i/>
    </w:rPr>
  </w:style>
  <w:style w:type="paragraph" w:customStyle="1" w:styleId="AONormal10">
    <w:name w:val="AONormal10"/>
    <w:basedOn w:val="AONormal"/>
    <w:qFormat/>
    <w:rPr>
      <w:sz w:val="20"/>
    </w:rPr>
  </w:style>
  <w:style w:type="paragraph" w:customStyle="1" w:styleId="AONormal8C">
    <w:name w:val="AONormal8C"/>
    <w:basedOn w:val="AONormal8L"/>
    <w:qFormat/>
    <w:pPr>
      <w:jc w:val="center"/>
    </w:pPr>
  </w:style>
  <w:style w:type="paragraph" w:customStyle="1" w:styleId="AONormal8L">
    <w:name w:val="AONormal8L"/>
    <w:basedOn w:val="AONormal"/>
    <w:qFormat/>
    <w:pPr>
      <w:spacing w:line="220" w:lineRule="atLeast"/>
    </w:pPr>
    <w:rPr>
      <w:rFonts w:ascii="Arial" w:hAnsi="Arial"/>
      <w:sz w:val="16"/>
    </w:rPr>
  </w:style>
  <w:style w:type="paragraph" w:customStyle="1" w:styleId="AONormal8R">
    <w:name w:val="AONormal8R"/>
    <w:basedOn w:val="AONormal8L"/>
    <w:qFormat/>
    <w:pPr>
      <w:jc w:val="right"/>
    </w:pPr>
  </w:style>
  <w:style w:type="paragraph" w:customStyle="1" w:styleId="AONormalBold">
    <w:name w:val="AONormalBold"/>
    <w:basedOn w:val="AONormal"/>
    <w:qFormat/>
    <w:rPr>
      <w:b/>
    </w:rPr>
  </w:style>
  <w:style w:type="paragraph" w:customStyle="1" w:styleId="AONormal6L">
    <w:name w:val="AONormal6L"/>
    <w:basedOn w:val="AONormal8L"/>
    <w:qFormat/>
    <w:pPr>
      <w:spacing w:line="160" w:lineRule="atLeast"/>
    </w:pPr>
    <w:rPr>
      <w:sz w:val="12"/>
    </w:rPr>
  </w:style>
  <w:style w:type="paragraph" w:customStyle="1" w:styleId="AOTitle18">
    <w:name w:val="AOTitle18"/>
    <w:basedOn w:val="AONormal"/>
    <w:qFormat/>
    <w:rPr>
      <w:b/>
      <w:sz w:val="36"/>
      <w:szCs w:val="36"/>
    </w:rPr>
  </w:style>
  <w:style w:type="paragraph" w:customStyle="1" w:styleId="AONormal8Ci">
    <w:name w:val="AONormal8Ci"/>
    <w:basedOn w:val="AONormal8C"/>
    <w:qFormat/>
    <w:pPr>
      <w:spacing w:after="120" w:line="240" w:lineRule="auto"/>
    </w:pPr>
    <w:rPr>
      <w:i/>
      <w:szCs w:val="16"/>
    </w:rPr>
  </w:style>
  <w:style w:type="paragraph" w:customStyle="1" w:styleId="AOBPTxtL">
    <w:name w:val="AOBPTxtL"/>
    <w:basedOn w:val="AOFPBP"/>
    <w:qFormat/>
  </w:style>
  <w:style w:type="paragraph" w:customStyle="1" w:styleId="AOBPTitle">
    <w:name w:val="AOBPTitle"/>
    <w:basedOn w:val="AOBPTxtL"/>
    <w:qFormat/>
    <w:rPr>
      <w:b/>
      <w:caps/>
    </w:rPr>
  </w:style>
  <w:style w:type="paragraph" w:customStyle="1" w:styleId="AOBPTxtC">
    <w:name w:val="AOBPTxtC"/>
    <w:basedOn w:val="AOBPTxtL"/>
    <w:qFormat/>
    <w:pPr>
      <w:jc w:val="center"/>
    </w:pPr>
  </w:style>
  <w:style w:type="paragraph" w:customStyle="1" w:styleId="AOBPTxtR">
    <w:name w:val="AOBPTxtR"/>
    <w:basedOn w:val="AOBPTxtL"/>
    <w:qFormat/>
    <w:pPr>
      <w:jc w:val="right"/>
    </w:pPr>
  </w:style>
  <w:style w:type="paragraph" w:customStyle="1" w:styleId="AOTOC1">
    <w:name w:val="AOTOC1"/>
    <w:basedOn w:val="AOTOCs"/>
    <w:qFormat/>
    <w:pPr>
      <w:tabs>
        <w:tab w:val="left" w:pos="720"/>
        <w:tab w:val="right" w:leader="dot" w:pos="9027"/>
      </w:tabs>
    </w:pPr>
    <w:rPr>
      <w:b/>
      <w:caps/>
    </w:rPr>
  </w:style>
  <w:style w:type="paragraph" w:customStyle="1" w:styleId="AOTOC2">
    <w:name w:val="AOTOC2"/>
    <w:basedOn w:val="AOTOCs"/>
    <w:qFormat/>
    <w:pPr>
      <w:tabs>
        <w:tab w:val="left" w:pos="720"/>
        <w:tab w:val="right" w:leader="dot" w:pos="9027"/>
      </w:tabs>
    </w:pPr>
  </w:style>
  <w:style w:type="paragraph" w:customStyle="1" w:styleId="AOTOC3">
    <w:name w:val="AOTOC3"/>
    <w:basedOn w:val="AOTOCs"/>
    <w:qFormat/>
    <w:pPr>
      <w:tabs>
        <w:tab w:val="right" w:leader="dot" w:pos="9027"/>
      </w:tabs>
      <w:ind w:left="720"/>
    </w:pPr>
    <w:rPr>
      <w:b/>
    </w:rPr>
  </w:style>
  <w:style w:type="paragraph" w:customStyle="1" w:styleId="AOTOC4">
    <w:name w:val="AOTOC4"/>
    <w:basedOn w:val="AOTOCs"/>
    <w:qFormat/>
    <w:pPr>
      <w:tabs>
        <w:tab w:val="right" w:leader="dot" w:pos="9027"/>
      </w:tabs>
      <w:ind w:left="720"/>
    </w:pPr>
  </w:style>
  <w:style w:type="paragraph" w:customStyle="1" w:styleId="AOTOC5">
    <w:name w:val="AOTOC5"/>
    <w:basedOn w:val="AOTOCs"/>
    <w:qFormat/>
    <w:pPr>
      <w:tabs>
        <w:tab w:val="right" w:leader="dot" w:pos="9027"/>
      </w:tabs>
      <w:ind w:left="720"/>
    </w:pPr>
    <w:rPr>
      <w:i/>
    </w:rPr>
  </w:style>
  <w:style w:type="paragraph" w:customStyle="1" w:styleId="AONormal8LBold">
    <w:name w:val="AONormal8LBold"/>
    <w:basedOn w:val="AONormal8L"/>
    <w:qFormat/>
    <w:rPr>
      <w:b/>
    </w:rPr>
  </w:style>
  <w:style w:type="paragraph" w:customStyle="1" w:styleId="AONormal6R">
    <w:name w:val="AONormal6R"/>
    <w:basedOn w:val="AONormal6L"/>
    <w:qFormat/>
    <w:pPr>
      <w:jc w:val="right"/>
    </w:pPr>
  </w:style>
  <w:style w:type="paragraph" w:customStyle="1" w:styleId="AONormal6C">
    <w:name w:val="AONormal6C"/>
    <w:basedOn w:val="AONormal6L"/>
    <w:qFormat/>
    <w:pPr>
      <w:jc w:val="center"/>
    </w:pPr>
  </w:style>
  <w:style w:type="paragraph" w:customStyle="1" w:styleId="AOBodyJustified">
    <w:name w:val="AOBodyJustified"/>
    <w:basedOn w:val="AOBodyTxt"/>
    <w:qFormat/>
    <w:pPr>
      <w:jc w:val="both"/>
    </w:pPr>
  </w:style>
  <w:style w:type="paragraph" w:customStyle="1" w:styleId="16">
    <w:name w:val="批注框文本1"/>
    <w:basedOn w:val="a1"/>
    <w:qFormat/>
    <w:rPr>
      <w:rFonts w:ascii="Tahoma" w:hAnsi="Tahoma" w:cs="Tahoma"/>
      <w:sz w:val="16"/>
      <w:szCs w:val="16"/>
    </w:rPr>
  </w:style>
  <w:style w:type="character" w:customStyle="1" w:styleId="lan18">
    <w:name w:val="lan18"/>
    <w:basedOn w:val="a2"/>
    <w:qFormat/>
  </w:style>
  <w:style w:type="character" w:customStyle="1" w:styleId="HTML0">
    <w:name w:val="HTML 预设格式 字符"/>
    <w:link w:val="HTML"/>
    <w:qFormat/>
    <w:rPr>
      <w:rFonts w:ascii="Arial Unicode MS" w:eastAsia="Arial Unicode MS" w:hAnsi="Arial Unicode MS" w:cs="Arial Unicode MS"/>
      <w:kern w:val="0"/>
      <w:sz w:val="20"/>
      <w:szCs w:val="20"/>
    </w:rPr>
  </w:style>
  <w:style w:type="paragraph" w:customStyle="1" w:styleId="Char2">
    <w:name w:val="Char2"/>
    <w:basedOn w:val="a1"/>
    <w:qFormat/>
  </w:style>
  <w:style w:type="paragraph" w:customStyle="1" w:styleId="afff9">
    <w:name w:val="中文文本"/>
    <w:basedOn w:val="a1"/>
    <w:qFormat/>
    <w:pPr>
      <w:adjustRightInd w:val="0"/>
      <w:spacing w:before="120" w:after="120" w:line="312" w:lineRule="atLeast"/>
      <w:textAlignment w:val="baseline"/>
    </w:pPr>
    <w:rPr>
      <w:kern w:val="0"/>
      <w:sz w:val="24"/>
      <w:szCs w:val="20"/>
    </w:rPr>
  </w:style>
  <w:style w:type="paragraph" w:customStyle="1" w:styleId="CharCharCharCharCharChar1CharCharChar">
    <w:name w:val="Char Char Char Char Char Char1 Char Char Char"/>
    <w:basedOn w:val="a1"/>
    <w:qFormat/>
    <w:pPr>
      <w:autoSpaceDE w:val="0"/>
      <w:autoSpaceDN w:val="0"/>
      <w:adjustRightInd w:val="0"/>
      <w:jc w:val="left"/>
      <w:textAlignment w:val="baseline"/>
    </w:pPr>
    <w:rPr>
      <w:rFonts w:ascii="宋体"/>
      <w:kern w:val="0"/>
      <w:sz w:val="34"/>
      <w:szCs w:val="20"/>
    </w:rPr>
  </w:style>
  <w:style w:type="paragraph" w:customStyle="1" w:styleId="Char">
    <w:name w:val="Char"/>
    <w:basedOn w:val="a1"/>
    <w:qFormat/>
    <w:pPr>
      <w:tabs>
        <w:tab w:val="left" w:pos="360"/>
      </w:tabs>
      <w:spacing w:line="560" w:lineRule="exact"/>
    </w:pPr>
    <w:rPr>
      <w:rFonts w:ascii="方正黑体简体" w:eastAsia="方正黑体简体"/>
      <w:sz w:val="30"/>
      <w:szCs w:val="30"/>
    </w:rPr>
  </w:style>
  <w:style w:type="paragraph" w:customStyle="1" w:styleId="17">
    <w:name w:val="修订1"/>
    <w:hidden/>
    <w:uiPriority w:val="99"/>
    <w:qFormat/>
    <w:rPr>
      <w:kern w:val="2"/>
      <w:sz w:val="21"/>
      <w:szCs w:val="24"/>
    </w:rPr>
  </w:style>
  <w:style w:type="paragraph" w:customStyle="1" w:styleId="Style31">
    <w:name w:val="_Style 31"/>
    <w:basedOn w:val="a1"/>
    <w:qFormat/>
    <w:pPr>
      <w:tabs>
        <w:tab w:val="left" w:pos="420"/>
      </w:tabs>
      <w:ind w:left="420" w:hanging="420"/>
    </w:pPr>
    <w:rPr>
      <w:szCs w:val="20"/>
    </w:rPr>
  </w:style>
  <w:style w:type="paragraph" w:customStyle="1" w:styleId="Style39">
    <w:name w:val="_Style 39"/>
    <w:basedOn w:val="a1"/>
    <w:qFormat/>
    <w:pPr>
      <w:tabs>
        <w:tab w:val="left" w:pos="360"/>
      </w:tabs>
      <w:ind w:left="360" w:hanging="360"/>
    </w:pPr>
    <w:rPr>
      <w:szCs w:val="20"/>
    </w:rPr>
  </w:style>
  <w:style w:type="paragraph" w:customStyle="1" w:styleId="TOC1">
    <w:name w:val="TOC 标题1"/>
    <w:basedOn w:val="1"/>
    <w:next w:val="a1"/>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CharCharCharCharChar1Char">
    <w:name w:val="Char Char Char Char Char1 Char"/>
    <w:basedOn w:val="a1"/>
    <w:qFormat/>
  </w:style>
  <w:style w:type="character" w:customStyle="1" w:styleId="da">
    <w:name w:val="da"/>
    <w:basedOn w:val="a2"/>
    <w:qFormat/>
  </w:style>
  <w:style w:type="paragraph" w:customStyle="1" w:styleId="afffa">
    <w:name w:val="项目标题"/>
    <w:basedOn w:val="a1"/>
    <w:qFormat/>
    <w:pPr>
      <w:autoSpaceDE w:val="0"/>
      <w:autoSpaceDN w:val="0"/>
      <w:adjustRightInd w:val="0"/>
      <w:spacing w:line="360" w:lineRule="auto"/>
      <w:textAlignment w:val="baseline"/>
    </w:pPr>
    <w:rPr>
      <w:rFonts w:ascii="黑体" w:eastAsia="黑体"/>
      <w:b/>
      <w:kern w:val="0"/>
      <w:sz w:val="24"/>
      <w:szCs w:val="20"/>
    </w:rPr>
  </w:style>
  <w:style w:type="character" w:customStyle="1" w:styleId="a7">
    <w:name w:val="电子邮件签名 字符"/>
    <w:link w:val="a6"/>
    <w:qFormat/>
    <w:rPr>
      <w:rFonts w:ascii="Times New Roman" w:eastAsia="宋体" w:hAnsi="Times New Roman" w:cs="Times New Roman"/>
      <w:kern w:val="0"/>
      <w:szCs w:val="21"/>
    </w:rPr>
  </w:style>
  <w:style w:type="paragraph" w:customStyle="1" w:styleId="p0">
    <w:name w:val="p0"/>
    <w:basedOn w:val="a1"/>
    <w:qFormat/>
    <w:pPr>
      <w:widowControl/>
      <w:spacing w:before="100" w:beforeAutospacing="1" w:after="100" w:afterAutospacing="1"/>
      <w:jc w:val="left"/>
    </w:pPr>
    <w:rPr>
      <w:rFonts w:ascii="宋体" w:hAnsi="宋体" w:cs="宋体"/>
      <w:kern w:val="0"/>
      <w:sz w:val="24"/>
    </w:rPr>
  </w:style>
  <w:style w:type="character" w:customStyle="1" w:styleId="150">
    <w:name w:val="15"/>
    <w:basedOn w:val="a2"/>
    <w:qFormat/>
  </w:style>
  <w:style w:type="paragraph" w:customStyle="1" w:styleId="ParaCharCharCharCharCharChar">
    <w:name w:val="默认段落字体 Para Char Char Char Char Char Char"/>
    <w:basedOn w:val="a1"/>
    <w:qFormat/>
    <w:pPr>
      <w:tabs>
        <w:tab w:val="left" w:pos="840"/>
      </w:tabs>
      <w:ind w:left="840" w:hanging="360"/>
    </w:pPr>
    <w:rPr>
      <w:sz w:val="24"/>
    </w:rPr>
  </w:style>
  <w:style w:type="character" w:customStyle="1" w:styleId="Char1">
    <w:name w:val="脚注文本 Char1"/>
    <w:uiPriority w:val="99"/>
    <w:qFormat/>
    <w:rPr>
      <w:sz w:val="18"/>
      <w:szCs w:val="18"/>
    </w:rPr>
  </w:style>
  <w:style w:type="character" w:customStyle="1" w:styleId="Char10">
    <w:name w:val="批注文字 Char1"/>
    <w:uiPriority w:val="99"/>
    <w:qFormat/>
    <w:rPr>
      <w:sz w:val="21"/>
    </w:rPr>
  </w:style>
  <w:style w:type="character" w:customStyle="1" w:styleId="Char11">
    <w:name w:val="日期 Char1"/>
    <w:uiPriority w:val="99"/>
    <w:qFormat/>
    <w:rPr>
      <w:sz w:val="21"/>
    </w:rPr>
  </w:style>
  <w:style w:type="character" w:customStyle="1" w:styleId="3Char1">
    <w:name w:val="正文文本 3 Char1"/>
    <w:uiPriority w:val="99"/>
    <w:qFormat/>
    <w:rPr>
      <w:sz w:val="16"/>
      <w:szCs w:val="16"/>
    </w:rPr>
  </w:style>
  <w:style w:type="character" w:customStyle="1" w:styleId="2Char1">
    <w:name w:val="正文文本缩进 2 Char1"/>
    <w:qFormat/>
    <w:rPr>
      <w:sz w:val="21"/>
    </w:rPr>
  </w:style>
  <w:style w:type="character" w:customStyle="1" w:styleId="Char12">
    <w:name w:val="批注主题 Char1"/>
    <w:uiPriority w:val="99"/>
    <w:qFormat/>
    <w:rPr>
      <w:b/>
      <w:bCs/>
      <w:sz w:val="21"/>
    </w:rPr>
  </w:style>
  <w:style w:type="character" w:customStyle="1" w:styleId="affc">
    <w:name w:val="正文首行缩进 字符"/>
    <w:link w:val="affb"/>
    <w:qFormat/>
    <w:rPr>
      <w:rFonts w:ascii="Times New Roman" w:eastAsia="宋体" w:hAnsi="Times New Roman" w:cs="Times New Roman"/>
      <w:sz w:val="24"/>
      <w:szCs w:val="24"/>
    </w:rPr>
  </w:style>
  <w:style w:type="character" w:customStyle="1" w:styleId="Char13">
    <w:name w:val="正文首行缩进 Char1"/>
    <w:uiPriority w:val="99"/>
    <w:qFormat/>
    <w:rPr>
      <w:rFonts w:ascii="Times New Roman" w:eastAsia="宋体" w:hAnsi="Times New Roman" w:cs="Times New Roman"/>
      <w:sz w:val="24"/>
      <w:szCs w:val="24"/>
    </w:rPr>
  </w:style>
  <w:style w:type="paragraph" w:customStyle="1" w:styleId="2">
    <w:name w:val="编号正文2"/>
    <w:basedOn w:val="a1"/>
    <w:qFormat/>
    <w:pPr>
      <w:numPr>
        <w:numId w:val="22"/>
      </w:numPr>
      <w:autoSpaceDE w:val="0"/>
      <w:autoSpaceDN w:val="0"/>
      <w:adjustRightInd w:val="0"/>
      <w:spacing w:after="120" w:line="300" w:lineRule="auto"/>
    </w:pPr>
    <w:rPr>
      <w:rFonts w:ascii="宋体"/>
      <w:kern w:val="0"/>
      <w:szCs w:val="20"/>
    </w:rPr>
  </w:style>
  <w:style w:type="paragraph" w:customStyle="1" w:styleId="c">
    <w:name w:val="c_"/>
    <w:qFormat/>
    <w:pPr>
      <w:widowControl w:val="0"/>
      <w:autoSpaceDE w:val="0"/>
      <w:autoSpaceDN w:val="0"/>
      <w:adjustRightInd w:val="0"/>
      <w:jc w:val="both"/>
    </w:pPr>
    <w:rPr>
      <w:rFonts w:ascii="五" w:eastAsia="五"/>
      <w:sz w:val="24"/>
    </w:rPr>
  </w:style>
  <w:style w:type="paragraph" w:customStyle="1" w:styleId="ParaCharCharCharCharCharCharChar">
    <w:name w:val="默认段落字体 Para Char Char Char Char Char Char Char"/>
    <w:basedOn w:val="a1"/>
    <w:qFormat/>
    <w:pPr>
      <w:widowControl/>
      <w:jc w:val="left"/>
    </w:pPr>
    <w:rPr>
      <w:rFonts w:ascii="Tahoma" w:hAnsi="Tahoma"/>
      <w:color w:val="000000"/>
      <w:kern w:val="0"/>
      <w:sz w:val="24"/>
      <w:szCs w:val="20"/>
    </w:rPr>
  </w:style>
  <w:style w:type="paragraph" w:styleId="afffb">
    <w:name w:val="List Paragraph"/>
    <w:basedOn w:val="a1"/>
    <w:qFormat/>
    <w:pPr>
      <w:ind w:firstLineChars="200" w:firstLine="420"/>
    </w:pPr>
  </w:style>
  <w:style w:type="paragraph" w:customStyle="1" w:styleId="CharChar1">
    <w:name w:val="Char Char1"/>
    <w:basedOn w:val="a1"/>
    <w:qFormat/>
    <w:rPr>
      <w:szCs w:val="20"/>
    </w:rPr>
  </w:style>
  <w:style w:type="paragraph" w:customStyle="1" w:styleId="CharCharCharChar1">
    <w:name w:val="Char Char Char Char1"/>
    <w:basedOn w:val="a1"/>
    <w:qFormat/>
    <w:rPr>
      <w:szCs w:val="20"/>
    </w:rPr>
  </w:style>
  <w:style w:type="paragraph" w:customStyle="1" w:styleId="ParaCharCharCharCharCharCharCharCharCharCharCharCharCharCharCharCharCharCharCharCharCharCharCharChar">
    <w:name w:val="默认段落字体 Para Char Char Char Char Char Char Char Char Char Char Char Char Char Char Char Char Char Char Char Char Char Char Char Char"/>
    <w:basedOn w:val="a1"/>
    <w:qFormat/>
    <w:pPr>
      <w:tabs>
        <w:tab w:val="left" w:pos="840"/>
      </w:tabs>
      <w:ind w:left="840" w:hanging="360"/>
    </w:pPr>
    <w:rPr>
      <w:szCs w:val="20"/>
    </w:rPr>
  </w:style>
  <w:style w:type="character" w:customStyle="1" w:styleId="unnamed11">
    <w:name w:val="unnamed11"/>
    <w:qFormat/>
    <w:rPr>
      <w:rFonts w:ascii="宋体" w:eastAsia="宋体" w:hAnsi="宋体" w:hint="eastAsia"/>
      <w:sz w:val="18"/>
    </w:rPr>
  </w:style>
  <w:style w:type="paragraph" w:customStyle="1" w:styleId="Listbullet">
    <w:name w:val="List_bullet"/>
    <w:basedOn w:val="a1"/>
    <w:qFormat/>
    <w:pPr>
      <w:widowControl/>
      <w:numPr>
        <w:numId w:val="23"/>
      </w:numPr>
      <w:jc w:val="left"/>
    </w:pPr>
    <w:rPr>
      <w:kern w:val="0"/>
      <w:sz w:val="24"/>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1"/>
    <w:qFormat/>
    <w:rPr>
      <w:szCs w:val="20"/>
    </w:rPr>
  </w:style>
  <w:style w:type="paragraph" w:customStyle="1" w:styleId="InfoBlue">
    <w:name w:val="InfoBlue"/>
    <w:basedOn w:val="a1"/>
    <w:next w:val="a9"/>
    <w:qFormat/>
    <w:pPr>
      <w:tabs>
        <w:tab w:val="left" w:pos="420"/>
      </w:tabs>
      <w:spacing w:after="120" w:line="240" w:lineRule="atLeast"/>
      <w:ind w:left="420" w:hanging="420"/>
      <w:jc w:val="left"/>
    </w:pPr>
    <w:rPr>
      <w:rFonts w:ascii="宋体" w:hAnsi="宋体"/>
      <w:szCs w:val="20"/>
    </w:rPr>
  </w:style>
  <w:style w:type="character" w:customStyle="1" w:styleId="Char14">
    <w:name w:val="标题 Char1"/>
    <w:uiPriority w:val="10"/>
    <w:qFormat/>
    <w:rPr>
      <w:rFonts w:ascii="Cambria" w:hAnsi="Cambria" w:cs="Times New Roman"/>
      <w:b/>
      <w:bCs/>
      <w:kern w:val="2"/>
      <w:sz w:val="32"/>
      <w:szCs w:val="32"/>
    </w:rPr>
  </w:style>
  <w:style w:type="character" w:customStyle="1" w:styleId="Char15">
    <w:name w:val="正文文本 Char1"/>
    <w:uiPriority w:val="99"/>
    <w:qFormat/>
    <w:rPr>
      <w:kern w:val="2"/>
      <w:sz w:val="21"/>
    </w:rPr>
  </w:style>
  <w:style w:type="paragraph" w:customStyle="1" w:styleId="CharCharChar">
    <w:name w:val="Char Char Char"/>
    <w:basedOn w:val="a1"/>
    <w:qFormat/>
    <w:rPr>
      <w:szCs w:val="20"/>
    </w:rPr>
  </w:style>
  <w:style w:type="paragraph" w:customStyle="1" w:styleId="CharCharCharCharCharChar1CharCharChar1">
    <w:name w:val="Char Char Char Char Char Char1 Char Char Char1"/>
    <w:basedOn w:val="a1"/>
    <w:qFormat/>
    <w:pPr>
      <w:autoSpaceDE w:val="0"/>
      <w:autoSpaceDN w:val="0"/>
      <w:adjustRightInd w:val="0"/>
      <w:jc w:val="left"/>
      <w:textAlignment w:val="baseline"/>
    </w:pPr>
    <w:rPr>
      <w:rFonts w:ascii="宋体"/>
      <w:kern w:val="0"/>
      <w:sz w:val="34"/>
      <w:szCs w:val="20"/>
    </w:rPr>
  </w:style>
  <w:style w:type="character" w:customStyle="1" w:styleId="heigh1801">
    <w:name w:val="heigh1801"/>
    <w:basedOn w:val="a2"/>
    <w:qFormat/>
  </w:style>
  <w:style w:type="paragraph" w:customStyle="1" w:styleId="Web">
    <w:name w:val="普通 (Web)"/>
    <w:basedOn w:val="a1"/>
    <w:qFormat/>
    <w:pPr>
      <w:widowControl/>
      <w:spacing w:before="100" w:beforeAutospacing="1" w:after="100" w:afterAutospacing="1"/>
      <w:jc w:val="left"/>
    </w:pPr>
    <w:rPr>
      <w:rFonts w:ascii="宋体" w:hAnsi="宋体"/>
      <w:kern w:val="0"/>
      <w:sz w:val="24"/>
    </w:rPr>
  </w:style>
  <w:style w:type="paragraph" w:customStyle="1" w:styleId="Style6">
    <w:name w:val="_Style 6"/>
    <w:basedOn w:val="a1"/>
    <w:next w:val="a1"/>
    <w:qFormat/>
    <w:pPr>
      <w:adjustRightInd w:val="0"/>
      <w:snapToGrid w:val="0"/>
      <w:ind w:firstLineChars="200" w:firstLine="480"/>
    </w:pPr>
    <w:rPr>
      <w:rFonts w:ascii="仿宋_GB2312" w:eastAsia="仿宋_GB2312" w:hAnsi="宋体"/>
      <w:color w:val="000000"/>
      <w:sz w:val="24"/>
      <w:szCs w:val="20"/>
    </w:rPr>
  </w:style>
  <w:style w:type="paragraph" w:customStyle="1" w:styleId="CharCharChar1">
    <w:name w:val="Char Char Char1"/>
    <w:basedOn w:val="a1"/>
    <w:qFormat/>
    <w:rPr>
      <w:szCs w:val="20"/>
    </w:rPr>
  </w:style>
  <w:style w:type="paragraph" w:customStyle="1" w:styleId="2025025">
    <w:name w:val="样式 首行缩进:  2 字符 段前: 0.25 行 段后: 0.25 行"/>
    <w:basedOn w:val="a1"/>
    <w:qFormat/>
    <w:pPr>
      <w:spacing w:beforeLines="25" w:afterLines="25" w:line="300" w:lineRule="auto"/>
      <w:ind w:firstLineChars="200" w:firstLine="420"/>
    </w:pPr>
    <w:rPr>
      <w:szCs w:val="21"/>
    </w:rPr>
  </w:style>
  <w:style w:type="paragraph" w:customStyle="1" w:styleId="UCAlpha2">
    <w:name w:val="UCAlpha 2"/>
    <w:basedOn w:val="a1"/>
    <w:uiPriority w:val="99"/>
    <w:qFormat/>
    <w:pPr>
      <w:widowControl/>
      <w:numPr>
        <w:numId w:val="24"/>
      </w:numPr>
      <w:spacing w:after="140" w:line="290" w:lineRule="auto"/>
    </w:pPr>
    <w:rPr>
      <w:rFonts w:ascii="Arial" w:hAnsi="Arial"/>
      <w:kern w:val="20"/>
      <w:sz w:val="20"/>
      <w:lang w:val="en-GB" w:eastAsia="en-US"/>
    </w:rPr>
  </w:style>
  <w:style w:type="character" w:customStyle="1" w:styleId="f221">
    <w:name w:val="f221"/>
    <w:qFormat/>
    <w:rPr>
      <w:rFonts w:ascii="ˎ̥" w:hAnsi="ˎ̥" w:hint="default"/>
      <w:b/>
      <w:bCs/>
      <w:color w:val="07519A"/>
      <w:sz w:val="33"/>
      <w:szCs w:val="33"/>
    </w:rPr>
  </w:style>
  <w:style w:type="character" w:customStyle="1" w:styleId="hangju">
    <w:name w:val="hangju"/>
    <w:basedOn w:val="a2"/>
    <w:qFormat/>
  </w:style>
  <w:style w:type="paragraph" w:customStyle="1" w:styleId="2H2Heading2HiddenHeading2CCBS">
    <w:name w:val="样式 标题 2H2Heading 2 HiddenHeading 2 CCBS + (西文) 宋体"/>
    <w:basedOn w:val="21"/>
    <w:qFormat/>
    <w:pPr>
      <w:numPr>
        <w:ilvl w:val="0"/>
        <w:numId w:val="0"/>
      </w:numPr>
    </w:pPr>
    <w:rPr>
      <w:rFonts w:ascii="宋体" w:hAnsi="宋体"/>
    </w:rPr>
  </w:style>
  <w:style w:type="paragraph" w:customStyle="1" w:styleId="wz1">
    <w:name w:val="wz1"/>
    <w:basedOn w:val="a1"/>
    <w:qFormat/>
    <w:pPr>
      <w:widowControl/>
      <w:spacing w:before="100" w:beforeAutospacing="1" w:after="100" w:afterAutospacing="1" w:line="245" w:lineRule="atLeast"/>
      <w:jc w:val="left"/>
    </w:pPr>
    <w:rPr>
      <w:rFonts w:ascii="Arial Unicode MS" w:eastAsia="Arial Unicode MS" w:hAnsi="Arial Unicode MS" w:cs="Arial Unicode MS"/>
      <w:color w:val="CC0000"/>
      <w:kern w:val="0"/>
      <w:sz w:val="22"/>
      <w:szCs w:val="22"/>
    </w:rPr>
  </w:style>
  <w:style w:type="paragraph" w:customStyle="1" w:styleId="28">
    <w:name w:val="2"/>
    <w:basedOn w:val="a1"/>
    <w:next w:val="34"/>
    <w:qFormat/>
    <w:pPr>
      <w:adjustRightInd w:val="0"/>
      <w:snapToGrid w:val="0"/>
      <w:ind w:firstLineChars="200" w:firstLine="480"/>
    </w:pPr>
    <w:rPr>
      <w:rFonts w:ascii="仿宋_GB2312" w:eastAsia="仿宋_GB2312" w:hAnsi="宋体" w:cs="Arial"/>
      <w:color w:val="000000"/>
      <w:sz w:val="24"/>
    </w:rPr>
  </w:style>
  <w:style w:type="paragraph" w:customStyle="1" w:styleId="Char16">
    <w:name w:val="Char1"/>
    <w:basedOn w:val="a1"/>
    <w:qFormat/>
  </w:style>
  <w:style w:type="paragraph" w:customStyle="1" w:styleId="Char21">
    <w:name w:val="Char21"/>
    <w:basedOn w:val="a1"/>
    <w:qFormat/>
  </w:style>
  <w:style w:type="paragraph" w:customStyle="1" w:styleId="CharCharCharCharCharCharChar">
    <w:name w:val="Char Char Char Char Char Char Char"/>
    <w:basedOn w:val="a1"/>
    <w:qFormat/>
  </w:style>
  <w:style w:type="paragraph" w:customStyle="1" w:styleId="Char1CharCharCharCharCharCharCharCharCharCharCharChar1CharCharCharCharCharCharCharCharChar">
    <w:name w:val="Char1 Char Char Char Char Char Char Char Char Char Char Char Char1 Char Char Char Char Char Char Char Char Char"/>
    <w:basedOn w:val="a1"/>
    <w:qFormat/>
  </w:style>
  <w:style w:type="character" w:customStyle="1" w:styleId="CharChar19">
    <w:name w:val="Char Char19"/>
    <w:qFormat/>
    <w:locked/>
    <w:rPr>
      <w:rFonts w:ascii="Arial" w:eastAsia="黑体" w:hAnsi="Arial" w:cs="Times New Roman"/>
      <w:kern w:val="0"/>
      <w:sz w:val="20"/>
      <w:szCs w:val="20"/>
    </w:rPr>
  </w:style>
  <w:style w:type="character" w:customStyle="1" w:styleId="CharChar16">
    <w:name w:val="Char Char16"/>
    <w:qFormat/>
    <w:locked/>
    <w:rPr>
      <w:rFonts w:ascii="Times New Roman" w:eastAsia="宋体" w:hAnsi="Times New Roman" w:cs="Times New Roman"/>
      <w:sz w:val="20"/>
      <w:szCs w:val="20"/>
    </w:rPr>
  </w:style>
  <w:style w:type="paragraph" w:customStyle="1" w:styleId="CharCharChar11">
    <w:name w:val="Char Char Char11"/>
    <w:basedOn w:val="a1"/>
    <w:qFormat/>
  </w:style>
  <w:style w:type="paragraph" w:customStyle="1" w:styleId="CharCharCharCharChar1Char1">
    <w:name w:val="Char Char Char Char Char1 Char1"/>
    <w:basedOn w:val="a1"/>
    <w:qFormat/>
  </w:style>
  <w:style w:type="paragraph" w:customStyle="1" w:styleId="CharCharChar2">
    <w:name w:val="Char Char Char2"/>
    <w:basedOn w:val="a1"/>
    <w:qFormat/>
  </w:style>
  <w:style w:type="paragraph" w:customStyle="1" w:styleId="CharCharCharCharCharCharChar1">
    <w:name w:val="Char Char Char Char Char Char Char1"/>
    <w:basedOn w:val="a1"/>
    <w:qFormat/>
  </w:style>
  <w:style w:type="paragraph" w:customStyle="1" w:styleId="Char1CharCharCharCharCharCharCharCharCharCharCharChar1CharCharCharCharCharCharCharCharChar1">
    <w:name w:val="Char1 Char Char Char Char Char Char Char Char Char Char Char Char1 Char Char Char Char Char Char Char Char Char1"/>
    <w:basedOn w:val="a1"/>
    <w:qFormat/>
  </w:style>
  <w:style w:type="paragraph" w:customStyle="1" w:styleId="18">
    <w:name w:val="列出段落1"/>
    <w:basedOn w:val="a1"/>
    <w:qFormat/>
    <w:pPr>
      <w:ind w:firstLineChars="200" w:firstLine="420"/>
    </w:pPr>
  </w:style>
  <w:style w:type="paragraph" w:customStyle="1" w:styleId="29">
    <w:name w:val="列出段落2"/>
    <w:basedOn w:val="a1"/>
    <w:qFormat/>
    <w:pPr>
      <w:ind w:firstLineChars="200" w:firstLine="420"/>
    </w:pPr>
    <w:rPr>
      <w:rFonts w:ascii="Calibri" w:hAnsi="Calibri"/>
      <w:szCs w:val="22"/>
    </w:rPr>
  </w:style>
  <w:style w:type="character" w:customStyle="1" w:styleId="CharChar6">
    <w:name w:val="Char Char6"/>
    <w:qFormat/>
    <w:rPr>
      <w:rFonts w:ascii="Times New Roman" w:eastAsia="宋体" w:hAnsi="Times New Roman" w:cs="Times New Roman"/>
      <w:szCs w:val="24"/>
    </w:rPr>
  </w:style>
  <w:style w:type="paragraph" w:customStyle="1" w:styleId="110">
    <w:name w:val="修订11"/>
    <w:hidden/>
    <w:uiPriority w:val="99"/>
    <w:qFormat/>
    <w:rPr>
      <w:kern w:val="2"/>
      <w:sz w:val="21"/>
      <w:szCs w:val="24"/>
    </w:rPr>
  </w:style>
  <w:style w:type="paragraph" w:customStyle="1" w:styleId="1Char">
    <w:name w:val="1 Char"/>
    <w:basedOn w:val="a1"/>
    <w:semiHidden/>
    <w:qFormat/>
    <w:pPr>
      <w:tabs>
        <w:tab w:val="left" w:pos="360"/>
      </w:tabs>
    </w:pPr>
    <w:rPr>
      <w:sz w:val="24"/>
    </w:rPr>
  </w:style>
  <w:style w:type="paragraph" w:customStyle="1" w:styleId="CharCharCharChar6">
    <w:name w:val="Char Char Char Char6"/>
    <w:basedOn w:val="a1"/>
    <w:qFormat/>
    <w:pPr>
      <w:tabs>
        <w:tab w:val="left" w:pos="360"/>
      </w:tabs>
    </w:pPr>
    <w:rPr>
      <w:sz w:val="24"/>
    </w:rPr>
  </w:style>
  <w:style w:type="paragraph" w:customStyle="1" w:styleId="CharCharCharChar11">
    <w:name w:val="Char Char Char Char11"/>
    <w:basedOn w:val="a1"/>
    <w:qFormat/>
    <w:rPr>
      <w:szCs w:val="20"/>
    </w:rPr>
  </w:style>
  <w:style w:type="paragraph" w:customStyle="1" w:styleId="211">
    <w:name w:val="样式 标题 2 + 段前: 1 行 段后: 1 行"/>
    <w:basedOn w:val="21"/>
    <w:qFormat/>
    <w:pPr>
      <w:numPr>
        <w:ilvl w:val="0"/>
        <w:numId w:val="25"/>
      </w:numPr>
      <w:spacing w:beforeLines="100" w:afterLines="100" w:line="240" w:lineRule="auto"/>
    </w:pPr>
    <w:rPr>
      <w:rFonts w:eastAsia="宋体"/>
      <w:b w:val="0"/>
      <w:bCs w:val="0"/>
      <w:sz w:val="28"/>
      <w:szCs w:val="20"/>
    </w:rPr>
  </w:style>
  <w:style w:type="paragraph" w:customStyle="1" w:styleId="2111111">
    <w:name w:val="样式 样式 样式 标题 2 + 段前: 1 行 段后: 1 行1 + 段前: 1 行 段后: 1 行 + 段前: 1 行 段后..."/>
    <w:basedOn w:val="a1"/>
    <w:qFormat/>
    <w:pPr>
      <w:keepNext/>
      <w:keepLines/>
      <w:numPr>
        <w:ilvl w:val="1"/>
        <w:numId w:val="26"/>
      </w:numPr>
      <w:spacing w:beforeLines="100" w:afterLines="100"/>
      <w:outlineLvl w:val="1"/>
    </w:pPr>
    <w:rPr>
      <w:rFonts w:ascii="Arial" w:hAnsi="Arial"/>
      <w:b/>
      <w:bCs/>
      <w:sz w:val="28"/>
      <w:szCs w:val="20"/>
    </w:rPr>
  </w:style>
  <w:style w:type="paragraph" w:customStyle="1" w:styleId="19">
    <w:name w:val="样式 标题 1 + 黑体 非加粗"/>
    <w:basedOn w:val="1"/>
    <w:qFormat/>
    <w:pPr>
      <w:keepLines w:val="0"/>
      <w:pageBreakBefore/>
      <w:numPr>
        <w:numId w:val="0"/>
      </w:numPr>
      <w:tabs>
        <w:tab w:val="left" w:pos="720"/>
      </w:tabs>
      <w:spacing w:beforeLines="100" w:afterLines="100" w:line="240" w:lineRule="auto"/>
      <w:ind w:left="720" w:firstLineChars="200" w:firstLine="200"/>
      <w:jc w:val="center"/>
    </w:pPr>
    <w:rPr>
      <w:rFonts w:ascii="黑体" w:eastAsia="黑体" w:hAnsi="黑体"/>
      <w:bCs w:val="0"/>
      <w:kern w:val="2"/>
      <w:sz w:val="32"/>
      <w:szCs w:val="32"/>
    </w:rPr>
  </w:style>
  <w:style w:type="paragraph" w:customStyle="1" w:styleId="111">
    <w:name w:val="样式 标题 1 + 段前: 1 行 段后: 1 行"/>
    <w:basedOn w:val="1"/>
    <w:qFormat/>
    <w:pPr>
      <w:keepLines w:val="0"/>
      <w:pageBreakBefore/>
      <w:numPr>
        <w:numId w:val="0"/>
      </w:numPr>
      <w:tabs>
        <w:tab w:val="left" w:pos="720"/>
      </w:tabs>
      <w:spacing w:beforeLines="100" w:afterLines="100" w:line="240" w:lineRule="auto"/>
      <w:ind w:left="720" w:firstLineChars="200" w:firstLine="200"/>
      <w:jc w:val="center"/>
    </w:pPr>
    <w:rPr>
      <w:rFonts w:ascii="黑体" w:eastAsia="黑体"/>
      <w:b w:val="0"/>
      <w:bCs w:val="0"/>
      <w:kern w:val="2"/>
      <w:sz w:val="32"/>
      <w:szCs w:val="20"/>
    </w:rPr>
  </w:style>
  <w:style w:type="paragraph" w:customStyle="1" w:styleId="2a">
    <w:name w:val="样式 首行缩进:  2 字符"/>
    <w:basedOn w:val="a1"/>
    <w:uiPriority w:val="99"/>
    <w:qFormat/>
    <w:pPr>
      <w:spacing w:before="100" w:beforeAutospacing="1" w:after="100" w:afterAutospacing="1" w:line="360" w:lineRule="auto"/>
      <w:ind w:firstLineChars="200" w:firstLine="480"/>
    </w:pPr>
    <w:rPr>
      <w:szCs w:val="20"/>
    </w:rPr>
  </w:style>
  <w:style w:type="character" w:customStyle="1" w:styleId="Char17">
    <w:name w:val="纯文本 Char1"/>
    <w:uiPriority w:val="99"/>
    <w:qFormat/>
    <w:rPr>
      <w:rFonts w:ascii="宋体" w:eastAsia="宋体" w:hAnsi="Courier New" w:cs="Times New Roman"/>
      <w:sz w:val="24"/>
      <w:szCs w:val="21"/>
    </w:rPr>
  </w:style>
  <w:style w:type="paragraph" w:customStyle="1" w:styleId="xl30">
    <w:name w:val="xl30"/>
    <w:basedOn w:val="a1"/>
    <w:uiPriority w:val="99"/>
    <w:qFormat/>
    <w:pPr>
      <w:widowControl/>
      <w:pBdr>
        <w:bottom w:val="single" w:sz="4" w:space="0" w:color="auto"/>
        <w:right w:val="single" w:sz="4" w:space="0" w:color="auto"/>
      </w:pBdr>
      <w:spacing w:before="100" w:beforeAutospacing="1" w:after="100" w:afterAutospacing="1"/>
      <w:jc w:val="right"/>
    </w:pPr>
    <w:rPr>
      <w:rFonts w:eastAsia="Arial Unicode MS"/>
      <w:kern w:val="0"/>
      <w:szCs w:val="21"/>
    </w:rPr>
  </w:style>
  <w:style w:type="character" w:customStyle="1" w:styleId="CharChar11">
    <w:name w:val="Char Char11"/>
    <w:qFormat/>
    <w:locked/>
    <w:rPr>
      <w:rFonts w:ascii="宋体" w:eastAsia="宋体" w:hAnsi="Courier New" w:cs="Courier New"/>
      <w:kern w:val="2"/>
      <w:sz w:val="21"/>
      <w:szCs w:val="21"/>
      <w:lang w:val="en-US" w:eastAsia="zh-CN" w:bidi="ar-SA"/>
    </w:rPr>
  </w:style>
  <w:style w:type="paragraph" w:customStyle="1" w:styleId="CharCharChar4">
    <w:name w:val="Char Char Char4"/>
    <w:basedOn w:val="a1"/>
    <w:qFormat/>
    <w:rPr>
      <w:szCs w:val="20"/>
    </w:rPr>
  </w:style>
  <w:style w:type="paragraph" w:customStyle="1" w:styleId="Char7">
    <w:name w:val="Char7"/>
    <w:basedOn w:val="a1"/>
    <w:qFormat/>
    <w:rPr>
      <w:szCs w:val="20"/>
    </w:rPr>
  </w:style>
  <w:style w:type="paragraph" w:customStyle="1" w:styleId="CharChar15">
    <w:name w:val="Char Char15"/>
    <w:basedOn w:val="a1"/>
    <w:qFormat/>
    <w:rPr>
      <w:szCs w:val="20"/>
    </w:rPr>
  </w:style>
  <w:style w:type="paragraph" w:customStyle="1" w:styleId="CharChar5">
    <w:name w:val="Char Char5"/>
    <w:basedOn w:val="a1"/>
    <w:qFormat/>
    <w:rPr>
      <w:szCs w:val="20"/>
    </w:rPr>
  </w:style>
  <w:style w:type="character" w:customStyle="1" w:styleId="e-arialb101">
    <w:name w:val="e-arialb101"/>
    <w:qFormat/>
    <w:rPr>
      <w:rFonts w:ascii="Arial" w:hAnsi="Arial" w:cs="Arial" w:hint="default"/>
      <w:color w:val="000000"/>
      <w:sz w:val="14"/>
      <w:szCs w:val="14"/>
    </w:rPr>
  </w:style>
  <w:style w:type="paragraph" w:customStyle="1" w:styleId="4CharCharCharChar">
    <w:name w:val="4 Char Char Char Char"/>
    <w:basedOn w:val="a1"/>
    <w:qFormat/>
    <w:rPr>
      <w:rFonts w:ascii="Tahoma" w:hAnsi="Tahoma"/>
      <w:sz w:val="24"/>
      <w:szCs w:val="20"/>
    </w:rPr>
  </w:style>
  <w:style w:type="paragraph" w:customStyle="1" w:styleId="NormalJustified">
    <w:name w:val="Normal (Justified)"/>
    <w:basedOn w:val="a1"/>
    <w:semiHidden/>
    <w:qFormat/>
    <w:pPr>
      <w:widowControl/>
      <w:snapToGrid w:val="0"/>
    </w:pPr>
    <w:rPr>
      <w:kern w:val="28"/>
      <w:sz w:val="24"/>
      <w:szCs w:val="20"/>
    </w:rPr>
  </w:style>
  <w:style w:type="paragraph" w:customStyle="1" w:styleId="CharCharChar1CharCharCharChar">
    <w:name w:val="Char Char Char1 Char Char Char Char"/>
    <w:basedOn w:val="a1"/>
    <w:qFormat/>
    <w:pPr>
      <w:tabs>
        <w:tab w:val="left" w:pos="360"/>
      </w:tabs>
    </w:pPr>
    <w:rPr>
      <w:sz w:val="24"/>
    </w:rPr>
  </w:style>
  <w:style w:type="paragraph" w:customStyle="1" w:styleId="CharCharCharCharCharCharChar2">
    <w:name w:val="Char Char Char Char Char Char Char2"/>
    <w:basedOn w:val="a1"/>
    <w:qFormat/>
    <w:pPr>
      <w:tabs>
        <w:tab w:val="left" w:pos="360"/>
      </w:tabs>
      <w:adjustRightInd w:val="0"/>
      <w:textAlignment w:val="baseline"/>
    </w:pPr>
    <w:rPr>
      <w:sz w:val="24"/>
      <w:szCs w:val="20"/>
    </w:rPr>
  </w:style>
  <w:style w:type="paragraph" w:customStyle="1" w:styleId="CharCharCharCharCharCharCharCharCharCharCharCharChar1CharCharCharChar">
    <w:name w:val="Char Char Char Char Char Char Char Char Char Char Char Char Char1 Char Char Char Char"/>
    <w:basedOn w:val="a1"/>
    <w:qFormat/>
    <w:rPr>
      <w:rFonts w:ascii="Tahoma" w:hAnsi="Tahoma"/>
      <w:sz w:val="24"/>
    </w:rPr>
  </w:style>
  <w:style w:type="character" w:customStyle="1" w:styleId="apple-style-span">
    <w:name w:val="apple-style-span"/>
    <w:qFormat/>
  </w:style>
  <w:style w:type="paragraph" w:customStyle="1" w:styleId="CharCharCharCharCharChar1CharCharChar3">
    <w:name w:val="Char Char Char Char Char Char1 Char Char Char3"/>
    <w:basedOn w:val="a1"/>
    <w:qFormat/>
    <w:pPr>
      <w:autoSpaceDE w:val="0"/>
      <w:autoSpaceDN w:val="0"/>
      <w:adjustRightInd w:val="0"/>
      <w:jc w:val="left"/>
      <w:textAlignment w:val="baseline"/>
    </w:pPr>
    <w:rPr>
      <w:szCs w:val="20"/>
    </w:rPr>
  </w:style>
  <w:style w:type="paragraph" w:customStyle="1" w:styleId="CM16">
    <w:name w:val="CM16"/>
    <w:basedOn w:val="Default"/>
    <w:next w:val="Default"/>
    <w:qFormat/>
    <w:pPr>
      <w:spacing w:line="471" w:lineRule="atLeast"/>
    </w:pPr>
    <w:rPr>
      <w:rFonts w:ascii="黑体" w:eastAsia="黑体"/>
      <w:color w:val="auto"/>
    </w:rPr>
  </w:style>
  <w:style w:type="character" w:customStyle="1" w:styleId="DeltaViewInsertion">
    <w:name w:val="DeltaView Insertion"/>
    <w:qFormat/>
    <w:rPr>
      <w:color w:val="0000FF"/>
      <w:spacing w:val="0"/>
      <w:u w:val="double"/>
    </w:rPr>
  </w:style>
  <w:style w:type="character" w:customStyle="1" w:styleId="1a">
    <w:name w:val="批注引用1"/>
    <w:qFormat/>
    <w:rPr>
      <w:sz w:val="21"/>
      <w:szCs w:val="21"/>
    </w:rPr>
  </w:style>
  <w:style w:type="character" w:customStyle="1" w:styleId="HTML10">
    <w:name w:val="HTML 打字机1"/>
    <w:qFormat/>
    <w:rPr>
      <w:rFonts w:ascii="Arial Unicode MS" w:eastAsia="Arial Unicode MS" w:hAnsi="Arial Unicode MS" w:cs="Arial Unicode MS"/>
      <w:sz w:val="20"/>
      <w:szCs w:val="20"/>
    </w:rPr>
  </w:style>
  <w:style w:type="character" w:customStyle="1" w:styleId="1b">
    <w:name w:val="页码1"/>
    <w:basedOn w:val="a2"/>
    <w:qFormat/>
  </w:style>
  <w:style w:type="paragraph" w:customStyle="1" w:styleId="1c">
    <w:name w:val="批注主题1"/>
    <w:basedOn w:val="af1"/>
    <w:next w:val="af1"/>
    <w:qFormat/>
    <w:rPr>
      <w:b/>
      <w:bCs/>
      <w:szCs w:val="24"/>
    </w:rPr>
  </w:style>
  <w:style w:type="paragraph" w:customStyle="1" w:styleId="210">
    <w:name w:val="正文文本 21"/>
    <w:basedOn w:val="a1"/>
    <w:qFormat/>
    <w:rPr>
      <w:sz w:val="28"/>
      <w:szCs w:val="20"/>
    </w:rPr>
  </w:style>
  <w:style w:type="paragraph" w:customStyle="1" w:styleId="112">
    <w:name w:val="索引 11"/>
    <w:basedOn w:val="a1"/>
    <w:next w:val="a1"/>
    <w:qFormat/>
    <w:pPr>
      <w:spacing w:line="360" w:lineRule="auto"/>
      <w:ind w:firstLineChars="200" w:firstLine="422"/>
      <w:outlineLvl w:val="0"/>
    </w:pPr>
    <w:rPr>
      <w:rFonts w:ascii="宋体" w:hAnsi="宋体"/>
      <w:b/>
      <w:bCs/>
      <w:color w:val="000000"/>
      <w:kern w:val="0"/>
    </w:rPr>
  </w:style>
  <w:style w:type="paragraph" w:customStyle="1" w:styleId="1d">
    <w:name w:val="正文首行缩进1"/>
    <w:basedOn w:val="a9"/>
    <w:qFormat/>
    <w:pPr>
      <w:spacing w:after="120" w:line="240" w:lineRule="auto"/>
      <w:ind w:firstLineChars="100" w:firstLine="420"/>
    </w:pPr>
  </w:style>
  <w:style w:type="paragraph" w:customStyle="1" w:styleId="HTML11">
    <w:name w:val="HTML 预设格式1"/>
    <w:basedOn w:val="a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customStyle="1" w:styleId="CharCharCharCharCharCharCharCharCharCharCharCharChar">
    <w:name w:val="Char Char Char Char Char Char Char Char Char Char Char Char Char"/>
    <w:basedOn w:val="a1"/>
    <w:qFormat/>
    <w:rPr>
      <w:szCs w:val="20"/>
    </w:rPr>
  </w:style>
  <w:style w:type="paragraph" w:customStyle="1" w:styleId="1e">
    <w:name w:val="纯文本1"/>
    <w:basedOn w:val="a1"/>
    <w:qFormat/>
    <w:rPr>
      <w:rFonts w:ascii="宋体" w:hAnsi="Courier New"/>
      <w:szCs w:val="20"/>
    </w:rPr>
  </w:style>
  <w:style w:type="paragraph" w:customStyle="1" w:styleId="2b">
    <w:name w:val="修订2"/>
    <w:qFormat/>
    <w:rPr>
      <w:szCs w:val="24"/>
    </w:rPr>
  </w:style>
  <w:style w:type="paragraph" w:customStyle="1" w:styleId="1f">
    <w:name w:val="引文目录1"/>
    <w:basedOn w:val="AONormal"/>
    <w:qFormat/>
    <w:pPr>
      <w:tabs>
        <w:tab w:val="right" w:leader="dot" w:pos="9490"/>
      </w:tabs>
      <w:spacing w:before="240" w:line="240" w:lineRule="auto"/>
      <w:ind w:left="720" w:hanging="720"/>
    </w:pPr>
    <w:rPr>
      <w:szCs w:val="20"/>
      <w:lang w:val="en-US"/>
    </w:rPr>
  </w:style>
  <w:style w:type="paragraph" w:customStyle="1" w:styleId="TOC11">
    <w:name w:val="TOC 标题11"/>
    <w:basedOn w:val="1"/>
    <w:next w:val="a1"/>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f0">
    <w:name w:val="文档结构图1"/>
    <w:basedOn w:val="a1"/>
    <w:qFormat/>
    <w:pPr>
      <w:shd w:val="clear" w:color="auto" w:fill="000080"/>
    </w:pPr>
    <w:rPr>
      <w:shd w:val="clear" w:color="auto" w:fill="000080"/>
    </w:rPr>
  </w:style>
  <w:style w:type="paragraph" w:customStyle="1" w:styleId="1f1">
    <w:name w:val="日期1"/>
    <w:basedOn w:val="a1"/>
    <w:next w:val="a1"/>
    <w:qFormat/>
    <w:pPr>
      <w:ind w:leftChars="2500" w:left="2500"/>
    </w:pPr>
    <w:rPr>
      <w:rFonts w:ascii="宋体" w:eastAsia="仿宋_GB2312" w:hAnsi="宋体"/>
      <w:sz w:val="28"/>
    </w:rPr>
  </w:style>
  <w:style w:type="paragraph" w:customStyle="1" w:styleId="310">
    <w:name w:val="正文文本 31"/>
    <w:basedOn w:val="a1"/>
    <w:qFormat/>
    <w:pPr>
      <w:autoSpaceDE w:val="0"/>
      <w:autoSpaceDN w:val="0"/>
      <w:adjustRightInd w:val="0"/>
      <w:spacing w:after="120" w:line="360" w:lineRule="auto"/>
    </w:pPr>
    <w:rPr>
      <w:kern w:val="0"/>
      <w:sz w:val="24"/>
      <w:szCs w:val="20"/>
      <w:u w:val="single"/>
    </w:rPr>
  </w:style>
  <w:style w:type="paragraph" w:customStyle="1" w:styleId="1f2">
    <w:name w:val="正文文本缩进1"/>
    <w:basedOn w:val="a1"/>
    <w:qFormat/>
    <w:pPr>
      <w:autoSpaceDE w:val="0"/>
      <w:autoSpaceDN w:val="0"/>
      <w:adjustRightInd w:val="0"/>
      <w:spacing w:after="120" w:line="440" w:lineRule="atLeast"/>
      <w:ind w:firstLine="539"/>
    </w:pPr>
    <w:rPr>
      <w:rFonts w:ascii="宋体"/>
      <w:kern w:val="0"/>
      <w:sz w:val="24"/>
      <w:szCs w:val="20"/>
    </w:rPr>
  </w:style>
  <w:style w:type="paragraph" w:customStyle="1" w:styleId="1f3">
    <w:name w:val="收信人地址1"/>
    <w:basedOn w:val="a1"/>
    <w:qFormat/>
    <w:pPr>
      <w:ind w:left="2880"/>
    </w:pPr>
    <w:rPr>
      <w:rFonts w:cs="Arial"/>
      <w:szCs w:val="22"/>
    </w:rPr>
  </w:style>
  <w:style w:type="paragraph" w:customStyle="1" w:styleId="1f4">
    <w:name w:val="寄信人地址1"/>
    <w:basedOn w:val="a1"/>
    <w:qFormat/>
    <w:rPr>
      <w:rFonts w:cs="Arial"/>
      <w:sz w:val="20"/>
    </w:rPr>
  </w:style>
  <w:style w:type="paragraph" w:customStyle="1" w:styleId="37">
    <w:name w:val="列出段落3"/>
    <w:basedOn w:val="a1"/>
    <w:qFormat/>
    <w:pPr>
      <w:ind w:firstLineChars="200" w:firstLine="420"/>
    </w:pPr>
  </w:style>
  <w:style w:type="paragraph" w:customStyle="1" w:styleId="311">
    <w:name w:val="正文文本缩进 31"/>
    <w:basedOn w:val="a1"/>
    <w:qFormat/>
    <w:pPr>
      <w:spacing w:line="400" w:lineRule="atLeast"/>
      <w:ind w:firstLine="600"/>
    </w:pPr>
    <w:rPr>
      <w:rFonts w:ascii="宋体"/>
      <w:sz w:val="28"/>
      <w:szCs w:val="20"/>
    </w:rPr>
  </w:style>
  <w:style w:type="paragraph" w:customStyle="1" w:styleId="1f5">
    <w:name w:val="普通(网站)1"/>
    <w:basedOn w:val="a1"/>
    <w:qFormat/>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customStyle="1" w:styleId="212">
    <w:name w:val="正文文本缩进 21"/>
    <w:basedOn w:val="a1"/>
    <w:qFormat/>
    <w:pPr>
      <w:spacing w:line="360" w:lineRule="auto"/>
      <w:ind w:firstLineChars="200" w:firstLine="560"/>
    </w:pPr>
    <w:rPr>
      <w:rFonts w:eastAsia="仿宋_GB2312"/>
      <w:sz w:val="28"/>
    </w:rPr>
  </w:style>
  <w:style w:type="paragraph" w:customStyle="1" w:styleId="1f6">
    <w:name w:val="引文目录标题1"/>
    <w:basedOn w:val="AONormal"/>
    <w:next w:val="1f"/>
    <w:qFormat/>
    <w:pPr>
      <w:tabs>
        <w:tab w:val="right" w:pos="9490"/>
      </w:tabs>
      <w:spacing w:before="240" w:after="120" w:line="240" w:lineRule="auto"/>
    </w:pPr>
    <w:rPr>
      <w:b/>
      <w:szCs w:val="20"/>
      <w:lang w:val="en-US"/>
    </w:rPr>
  </w:style>
  <w:style w:type="paragraph" w:customStyle="1" w:styleId="1f7">
    <w:name w:val="电子邮件签名1"/>
    <w:basedOn w:val="a1"/>
    <w:qFormat/>
    <w:pPr>
      <w:widowControl/>
    </w:pPr>
    <w:rPr>
      <w:kern w:val="0"/>
      <w:szCs w:val="21"/>
    </w:rPr>
  </w:style>
  <w:style w:type="paragraph" w:customStyle="1" w:styleId="CharCharCharCharCharCharCharCharChar">
    <w:name w:val="Char Char Char Char Char Char Char Char Char"/>
    <w:basedOn w:val="a1"/>
    <w:qFormat/>
    <w:pPr>
      <w:tabs>
        <w:tab w:val="left" w:pos="360"/>
      </w:tabs>
    </w:pPr>
    <w:rPr>
      <w:sz w:val="24"/>
    </w:rPr>
  </w:style>
  <w:style w:type="paragraph" w:customStyle="1" w:styleId="Style3">
    <w:name w:val="_Style 3"/>
    <w:basedOn w:val="a1"/>
    <w:qFormat/>
    <w:rPr>
      <w:szCs w:val="20"/>
    </w:rPr>
  </w:style>
  <w:style w:type="paragraph" w:customStyle="1" w:styleId="CharCharChar12">
    <w:name w:val="Char Char Char12"/>
    <w:basedOn w:val="a1"/>
    <w:qFormat/>
    <w:rPr>
      <w:szCs w:val="20"/>
    </w:rPr>
  </w:style>
  <w:style w:type="character" w:customStyle="1" w:styleId="u2">
    <w:name w:val="u2"/>
    <w:basedOn w:val="a2"/>
    <w:qFormat/>
  </w:style>
  <w:style w:type="character" w:customStyle="1" w:styleId="apple-converted-space">
    <w:name w:val="apple-converted-space"/>
    <w:basedOn w:val="a2"/>
    <w:qFormat/>
  </w:style>
  <w:style w:type="paragraph" w:customStyle="1" w:styleId="XBRLTitle1">
    <w:name w:val="XBRLTitle1"/>
    <w:basedOn w:val="1"/>
    <w:next w:val="21"/>
    <w:qFormat/>
    <w:pPr>
      <w:numPr>
        <w:numId w:val="27"/>
      </w:numPr>
      <w:spacing w:beforeLines="50" w:afterLines="50" w:line="240" w:lineRule="auto"/>
      <w:jc w:val="center"/>
    </w:pPr>
    <w:rPr>
      <w:rFonts w:ascii="Cambria" w:hAnsi="Cambria"/>
      <w:sz w:val="28"/>
    </w:rPr>
  </w:style>
  <w:style w:type="paragraph" w:customStyle="1" w:styleId="XBRLTitle2">
    <w:name w:val="XBRLTitle2"/>
    <w:basedOn w:val="aff2"/>
    <w:next w:val="4"/>
    <w:qFormat/>
    <w:pPr>
      <w:numPr>
        <w:numId w:val="27"/>
      </w:numPr>
      <w:spacing w:beforeLines="50" w:afterLines="50" w:line="240" w:lineRule="auto"/>
      <w:jc w:val="left"/>
    </w:pPr>
    <w:rPr>
      <w:sz w:val="24"/>
    </w:rPr>
  </w:style>
  <w:style w:type="paragraph" w:customStyle="1" w:styleId="XBRLTitle3">
    <w:name w:val="XBRLTitle3"/>
    <w:basedOn w:val="aff2"/>
    <w:next w:val="4"/>
    <w:qFormat/>
    <w:pPr>
      <w:numPr>
        <w:ilvl w:val="2"/>
        <w:numId w:val="27"/>
      </w:numPr>
      <w:spacing w:beforeLines="50" w:afterLines="50" w:line="240" w:lineRule="auto"/>
      <w:jc w:val="left"/>
      <w:outlineLvl w:val="9"/>
    </w:pPr>
    <w:rPr>
      <w:sz w:val="24"/>
    </w:rPr>
  </w:style>
  <w:style w:type="paragraph" w:customStyle="1" w:styleId="XBRLTitle4">
    <w:name w:val="XBRLTitle4"/>
    <w:basedOn w:val="aff2"/>
    <w:next w:val="4"/>
    <w:qFormat/>
    <w:pPr>
      <w:numPr>
        <w:ilvl w:val="3"/>
        <w:numId w:val="27"/>
      </w:numPr>
      <w:spacing w:beforeLines="50" w:afterLines="50" w:line="240" w:lineRule="auto"/>
      <w:jc w:val="left"/>
      <w:outlineLvl w:val="9"/>
    </w:pPr>
    <w:rPr>
      <w:sz w:val="24"/>
    </w:rPr>
  </w:style>
  <w:style w:type="paragraph" w:customStyle="1" w:styleId="XBRLTitle5">
    <w:name w:val="XBRLTitle5"/>
    <w:basedOn w:val="aff2"/>
    <w:next w:val="4"/>
    <w:qFormat/>
    <w:pPr>
      <w:numPr>
        <w:ilvl w:val="4"/>
        <w:numId w:val="27"/>
      </w:numPr>
      <w:spacing w:beforeLines="50" w:afterLines="50" w:line="240" w:lineRule="auto"/>
      <w:jc w:val="left"/>
      <w:outlineLvl w:val="9"/>
    </w:pPr>
    <w:rPr>
      <w:sz w:val="24"/>
    </w:rPr>
  </w:style>
  <w:style w:type="paragraph" w:customStyle="1" w:styleId="XBRLTitle6">
    <w:name w:val="XBRLTitle6"/>
    <w:basedOn w:val="aff2"/>
    <w:next w:val="4"/>
    <w:qFormat/>
    <w:pPr>
      <w:numPr>
        <w:ilvl w:val="5"/>
        <w:numId w:val="27"/>
      </w:numPr>
      <w:spacing w:beforeLines="50" w:afterLines="50" w:line="240" w:lineRule="auto"/>
      <w:jc w:val="left"/>
      <w:outlineLvl w:val="9"/>
    </w:pPr>
    <w:rPr>
      <w:sz w:val="24"/>
    </w:rPr>
  </w:style>
  <w:style w:type="character" w:customStyle="1" w:styleId="aff3">
    <w:name w:val="副标题 字符"/>
    <w:link w:val="aff2"/>
    <w:qFormat/>
    <w:rPr>
      <w:rFonts w:ascii="Cambria" w:eastAsia="宋体" w:hAnsi="Cambria" w:cs="Times New Roman"/>
      <w:b/>
      <w:bCs/>
      <w:kern w:val="28"/>
      <w:sz w:val="32"/>
      <w:szCs w:val="32"/>
    </w:rPr>
  </w:style>
  <w:style w:type="paragraph" w:customStyle="1" w:styleId="xl33">
    <w:name w:val="xl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0"/>
    </w:rPr>
  </w:style>
  <w:style w:type="character" w:customStyle="1" w:styleId="r1">
    <w:name w:val="r1"/>
    <w:basedOn w:val="a2"/>
    <w:qFormat/>
  </w:style>
  <w:style w:type="character" w:customStyle="1" w:styleId="c1">
    <w:name w:val="c1"/>
    <w:basedOn w:val="a2"/>
    <w:qFormat/>
  </w:style>
  <w:style w:type="character" w:customStyle="1" w:styleId="u1">
    <w:name w:val="u1"/>
    <w:basedOn w:val="a2"/>
    <w:qFormat/>
  </w:style>
  <w:style w:type="character" w:customStyle="1" w:styleId="1f8">
    <w:name w:val="不明显参考1"/>
    <w:qFormat/>
    <w:rPr>
      <w:smallCaps/>
      <w:color w:val="C0504D"/>
      <w:u w:val="single"/>
    </w:rPr>
  </w:style>
  <w:style w:type="paragraph" w:styleId="afffc">
    <w:name w:val="No Spacing"/>
    <w:uiPriority w:val="1"/>
    <w:qFormat/>
    <w:pPr>
      <w:widowControl w:val="0"/>
      <w:jc w:val="both"/>
    </w:pPr>
    <w:rPr>
      <w:kern w:val="2"/>
      <w:sz w:val="21"/>
    </w:rPr>
  </w:style>
  <w:style w:type="paragraph" w:customStyle="1" w:styleId="CharCharCharChar4">
    <w:name w:val="Char Char Char Char4"/>
    <w:basedOn w:val="a1"/>
    <w:qFormat/>
    <w:pPr>
      <w:tabs>
        <w:tab w:val="left" w:pos="360"/>
      </w:tabs>
      <w:spacing w:before="312" w:after="312" w:line="360" w:lineRule="auto"/>
    </w:pPr>
    <w:rPr>
      <w:sz w:val="24"/>
    </w:rPr>
  </w:style>
  <w:style w:type="paragraph" w:customStyle="1" w:styleId="CharCharCharCharCharChar1CharCharChar2">
    <w:name w:val="Char Char Char Char Char Char1 Char Char Char2"/>
    <w:basedOn w:val="a1"/>
    <w:qFormat/>
    <w:pPr>
      <w:autoSpaceDE w:val="0"/>
      <w:autoSpaceDN w:val="0"/>
      <w:adjustRightInd w:val="0"/>
      <w:jc w:val="left"/>
      <w:textAlignment w:val="baseline"/>
    </w:pPr>
    <w:rPr>
      <w:rFonts w:ascii="宋体"/>
      <w:kern w:val="0"/>
      <w:sz w:val="34"/>
      <w:szCs w:val="20"/>
    </w:rPr>
  </w:style>
  <w:style w:type="paragraph" w:customStyle="1" w:styleId="CharChar13">
    <w:name w:val="Char Char13"/>
    <w:basedOn w:val="a1"/>
    <w:qFormat/>
    <w:rPr>
      <w:szCs w:val="20"/>
    </w:rPr>
  </w:style>
  <w:style w:type="paragraph" w:customStyle="1" w:styleId="Char5">
    <w:name w:val="Char5"/>
    <w:basedOn w:val="a1"/>
    <w:qFormat/>
  </w:style>
  <w:style w:type="paragraph" w:customStyle="1" w:styleId="CharChar3">
    <w:name w:val="Char Char3"/>
    <w:basedOn w:val="a1"/>
    <w:qFormat/>
    <w:rPr>
      <w:szCs w:val="20"/>
    </w:rPr>
  </w:style>
  <w:style w:type="paragraph" w:customStyle="1" w:styleId="Char4">
    <w:name w:val="Char4"/>
    <w:basedOn w:val="a1"/>
    <w:qFormat/>
    <w:rPr>
      <w:szCs w:val="20"/>
    </w:rPr>
  </w:style>
  <w:style w:type="paragraph" w:customStyle="1" w:styleId="CharCharCharChar3">
    <w:name w:val="Char Char Char Char3"/>
    <w:basedOn w:val="a1"/>
    <w:qFormat/>
    <w:pPr>
      <w:tabs>
        <w:tab w:val="left" w:pos="360"/>
      </w:tabs>
    </w:pPr>
    <w:rPr>
      <w:szCs w:val="20"/>
    </w:rPr>
  </w:style>
  <w:style w:type="paragraph" w:customStyle="1" w:styleId="CharChar12">
    <w:name w:val="Char Char12"/>
    <w:basedOn w:val="a1"/>
    <w:qFormat/>
    <w:rPr>
      <w:szCs w:val="20"/>
    </w:rPr>
  </w:style>
  <w:style w:type="paragraph" w:customStyle="1" w:styleId="afffd">
    <w:name w:val="次标题"/>
    <w:basedOn w:val="3"/>
    <w:next w:val="a1"/>
    <w:qFormat/>
    <w:pPr>
      <w:numPr>
        <w:ilvl w:val="0"/>
        <w:numId w:val="0"/>
      </w:numPr>
      <w:spacing w:line="416" w:lineRule="auto"/>
      <w:jc w:val="left"/>
    </w:pPr>
    <w:rPr>
      <w:rFonts w:ascii="宋体" w:hAnsi="宋体"/>
      <w:sz w:val="24"/>
      <w:szCs w:val="24"/>
    </w:rPr>
  </w:style>
  <w:style w:type="paragraph" w:customStyle="1" w:styleId="CharChar2">
    <w:name w:val="Char Char2"/>
    <w:basedOn w:val="a1"/>
    <w:qFormat/>
    <w:rPr>
      <w:szCs w:val="20"/>
    </w:rPr>
  </w:style>
  <w:style w:type="paragraph" w:customStyle="1" w:styleId="Char3">
    <w:name w:val="Char3"/>
    <w:basedOn w:val="a1"/>
    <w:qFormat/>
    <w:rPr>
      <w:szCs w:val="20"/>
    </w:rPr>
  </w:style>
  <w:style w:type="paragraph" w:customStyle="1" w:styleId="CharCharCharChar2">
    <w:name w:val="Char Char Char Char2"/>
    <w:basedOn w:val="a1"/>
    <w:qFormat/>
    <w:pPr>
      <w:tabs>
        <w:tab w:val="left" w:pos="360"/>
      </w:tabs>
    </w:pPr>
    <w:rPr>
      <w:szCs w:val="20"/>
    </w:rPr>
  </w:style>
  <w:style w:type="paragraph" w:customStyle="1" w:styleId="Char6">
    <w:name w:val="Char6"/>
    <w:basedOn w:val="a1"/>
    <w:qFormat/>
    <w:rPr>
      <w:szCs w:val="20"/>
    </w:rPr>
  </w:style>
  <w:style w:type="paragraph" w:customStyle="1" w:styleId="CharCharCharChar5">
    <w:name w:val="Char Char Char Char5"/>
    <w:basedOn w:val="a1"/>
    <w:qFormat/>
    <w:pPr>
      <w:tabs>
        <w:tab w:val="left" w:pos="360"/>
      </w:tabs>
    </w:pPr>
    <w:rPr>
      <w:szCs w:val="20"/>
    </w:rPr>
  </w:style>
  <w:style w:type="paragraph" w:customStyle="1" w:styleId="CharChar4">
    <w:name w:val="Char Char4"/>
    <w:basedOn w:val="a1"/>
    <w:qFormat/>
    <w:rPr>
      <w:szCs w:val="20"/>
    </w:rPr>
  </w:style>
  <w:style w:type="paragraph" w:customStyle="1" w:styleId="CharChar14">
    <w:name w:val="Char Char14"/>
    <w:basedOn w:val="a1"/>
    <w:qFormat/>
    <w:rPr>
      <w:szCs w:val="20"/>
    </w:rPr>
  </w:style>
  <w:style w:type="paragraph" w:customStyle="1" w:styleId="CharCharChar3">
    <w:name w:val="Char Char Char3"/>
    <w:basedOn w:val="a1"/>
    <w:qFormat/>
    <w:rPr>
      <w:szCs w:val="20"/>
    </w:rPr>
  </w:style>
  <w:style w:type="paragraph" w:customStyle="1" w:styleId="z-1">
    <w:name w:val="z-窗体顶端1"/>
    <w:basedOn w:val="a1"/>
    <w:next w:val="a1"/>
    <w:link w:val="z-"/>
    <w:uiPriority w:val="99"/>
    <w:qFormat/>
    <w:pPr>
      <w:widowControl/>
      <w:pBdr>
        <w:bottom w:val="single" w:sz="6" w:space="1" w:color="auto"/>
      </w:pBdr>
      <w:jc w:val="center"/>
    </w:pPr>
    <w:rPr>
      <w:rFonts w:ascii="Arial" w:hAnsi="Arial"/>
      <w:vanish/>
      <w:kern w:val="0"/>
      <w:sz w:val="16"/>
      <w:szCs w:val="16"/>
    </w:rPr>
  </w:style>
  <w:style w:type="character" w:customStyle="1" w:styleId="z-">
    <w:name w:val="z-窗体顶端 字符"/>
    <w:link w:val="z-1"/>
    <w:uiPriority w:val="99"/>
    <w:qFormat/>
    <w:rPr>
      <w:rFonts w:ascii="Arial" w:eastAsia="宋体" w:hAnsi="Arial" w:cs="Times New Roman"/>
      <w:vanish/>
      <w:kern w:val="0"/>
      <w:sz w:val="16"/>
      <w:szCs w:val="16"/>
    </w:rPr>
  </w:style>
  <w:style w:type="paragraph" w:customStyle="1" w:styleId="z-10">
    <w:name w:val="z-窗体底端1"/>
    <w:basedOn w:val="a1"/>
    <w:next w:val="a1"/>
    <w:link w:val="z-0"/>
    <w:uiPriority w:val="99"/>
    <w:qFormat/>
    <w:pPr>
      <w:widowControl/>
      <w:pBdr>
        <w:top w:val="single" w:sz="6" w:space="1" w:color="auto"/>
      </w:pBdr>
      <w:jc w:val="center"/>
    </w:pPr>
    <w:rPr>
      <w:rFonts w:ascii="Arial" w:hAnsi="Arial"/>
      <w:vanish/>
      <w:kern w:val="0"/>
      <w:sz w:val="16"/>
      <w:szCs w:val="16"/>
    </w:rPr>
  </w:style>
  <w:style w:type="character" w:customStyle="1" w:styleId="z-0">
    <w:name w:val="z-窗体底端 字符"/>
    <w:link w:val="z-10"/>
    <w:uiPriority w:val="99"/>
    <w:qFormat/>
    <w:rPr>
      <w:rFonts w:ascii="Arial" w:eastAsia="宋体" w:hAnsi="Arial" w:cs="Times New Roman"/>
      <w:vanish/>
      <w:kern w:val="0"/>
      <w:sz w:val="16"/>
      <w:szCs w:val="16"/>
    </w:rPr>
  </w:style>
  <w:style w:type="paragraph" w:customStyle="1" w:styleId="1f9">
    <w:name w:val="字元 字元1"/>
    <w:basedOn w:val="a1"/>
    <w:qFormat/>
    <w:rPr>
      <w:rFonts w:ascii="Tahoma" w:hAnsi="Tahoma" w:cs="Tahoma"/>
      <w:sz w:val="24"/>
    </w:rPr>
  </w:style>
  <w:style w:type="character" w:customStyle="1" w:styleId="1fa">
    <w:name w:val="不明显强调1"/>
    <w:uiPriority w:val="19"/>
    <w:qFormat/>
    <w:rPr>
      <w:i/>
      <w:iCs/>
      <w:color w:val="808080"/>
    </w:rPr>
  </w:style>
  <w:style w:type="character" w:customStyle="1" w:styleId="1fb">
    <w:name w:val="明显强调1"/>
    <w:uiPriority w:val="21"/>
    <w:qFormat/>
    <w:rPr>
      <w:b/>
      <w:bCs/>
      <w:i/>
      <w:iCs/>
      <w:color w:val="4F81BD"/>
    </w:rPr>
  </w:style>
  <w:style w:type="paragraph" w:customStyle="1" w:styleId="afffe">
    <w:name w:val="样式 宋体 居中"/>
    <w:basedOn w:val="a1"/>
    <w:qFormat/>
    <w:pPr>
      <w:jc w:val="center"/>
    </w:pPr>
    <w:rPr>
      <w:rFonts w:cs="宋体"/>
      <w:szCs w:val="20"/>
    </w:rPr>
  </w:style>
  <w:style w:type="character" w:customStyle="1" w:styleId="affff">
    <w:name w:val="样式 宋体"/>
    <w:qFormat/>
    <w:rPr>
      <w:rFonts w:ascii="Times New Roman" w:eastAsia="宋体" w:hAnsi="Times New Roman"/>
    </w:rPr>
  </w:style>
  <w:style w:type="paragraph" w:customStyle="1" w:styleId="38">
    <w:name w:val="修订3"/>
    <w:hidden/>
    <w:uiPriority w:val="99"/>
    <w:semiHidden/>
    <w:qFormat/>
    <w:rPr>
      <w:kern w:val="2"/>
      <w:sz w:val="21"/>
      <w:szCs w:val="24"/>
    </w:rPr>
  </w:style>
  <w:style w:type="character" w:customStyle="1" w:styleId="1fc">
    <w:name w:val="未处理的提及1"/>
    <w:basedOn w:val="a2"/>
    <w:uiPriority w:val="99"/>
    <w:semiHidden/>
    <w:unhideWhenUsed/>
    <w:qFormat/>
    <w:rPr>
      <w:color w:val="605E5C"/>
      <w:shd w:val="clear" w:color="auto" w:fill="E1DFDD"/>
    </w:rPr>
  </w:style>
  <w:style w:type="paragraph" w:customStyle="1" w:styleId="42">
    <w:name w:val="修订4"/>
    <w:hidden/>
    <w:uiPriority w:val="99"/>
    <w:semiHidden/>
    <w:qFormat/>
    <w:rPr>
      <w:kern w:val="2"/>
      <w:sz w:val="21"/>
      <w:szCs w:val="24"/>
    </w:rPr>
  </w:style>
  <w:style w:type="paragraph" w:customStyle="1" w:styleId="52">
    <w:name w:val="修订5"/>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service@donghaifunds.com" TargetMode="Externa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8A931A-E343-4391-A9ED-123A793DC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101</Pages>
  <Words>12524</Words>
  <Characters>71391</Characters>
  <Application>Microsoft Office Word</Application>
  <DocSecurity>0</DocSecurity>
  <Lines>594</Lines>
  <Paragraphs>167</Paragraphs>
  <ScaleCrop>false</ScaleCrop>
  <Company>P R C</Company>
  <LinksUpToDate>false</LinksUpToDate>
  <CharactersWithSpaces>83748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刘金杨-20150316</dc:creator>
  <cp:lastModifiedBy>何玉珑</cp:lastModifiedBy>
  <cp:revision>17</cp:revision>
  <cp:lastPrinted>2020-10-29T02:51:00Z</cp:lastPrinted>
  <dcterms:created xsi:type="dcterms:W3CDTF">2021-04-19T06:55:00Z</dcterms:created>
  <dcterms:modified xsi:type="dcterms:W3CDTF">2023-03-27T09:06:00Z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CBB34327893443CC81FF15407C6E08B4</vt:lpwstr>
  </property>
</Properties>
</file>